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5925" w:rsidRPr="00F92494" w:rsidRDefault="00AA5925" w:rsidP="00CB7ADF">
      <w:pPr>
        <w:spacing w:after="0"/>
        <w:ind w:firstLine="0"/>
      </w:pPr>
      <w:bookmarkStart w:id="0" w:name="_GoBack"/>
      <w:bookmarkEnd w:id="0"/>
    </w:p>
    <w:p w:rsidR="00AA5925" w:rsidRPr="00F92494" w:rsidRDefault="00AA5925" w:rsidP="00CB7ADF">
      <w:pPr>
        <w:spacing w:after="0"/>
        <w:ind w:firstLine="0"/>
        <w:jc w:val="center"/>
        <w:rPr>
          <w:b/>
          <w:bCs/>
          <w:color w:val="000000"/>
        </w:rPr>
      </w:pPr>
      <w:r w:rsidRPr="00F92494">
        <w:rPr>
          <w:rFonts w:eastAsia="Times New Roman"/>
          <w:b/>
          <w:bCs/>
          <w:lang w:eastAsia="ja-JP"/>
        </w:rPr>
        <w:t>"A Union of shared values – the role of education and civil society"</w:t>
      </w:r>
    </w:p>
    <w:p w:rsidR="00AA5925" w:rsidRPr="00F92494" w:rsidRDefault="00AA5925" w:rsidP="00CB7ADF">
      <w:pPr>
        <w:spacing w:after="0"/>
        <w:ind w:firstLine="0"/>
        <w:jc w:val="center"/>
        <w:rPr>
          <w:b/>
          <w:bCs/>
          <w:color w:val="000000"/>
        </w:rPr>
      </w:pPr>
      <w:r w:rsidRPr="00F92494">
        <w:rPr>
          <w:b/>
          <w:bCs/>
          <w:color w:val="000000"/>
        </w:rPr>
        <w:t>2015 Jean Monnet Annual Conference – 9/10 November, Brussels</w:t>
      </w:r>
    </w:p>
    <w:p w:rsidR="00AA5925" w:rsidRPr="00F92494" w:rsidRDefault="00AA5925" w:rsidP="00CB7ADF">
      <w:pPr>
        <w:spacing w:after="0"/>
        <w:ind w:firstLine="0"/>
        <w:jc w:val="center"/>
      </w:pPr>
    </w:p>
    <w:p w:rsidR="00AA5925" w:rsidRDefault="00AA5925" w:rsidP="00CB7ADF">
      <w:pPr>
        <w:spacing w:after="0"/>
        <w:ind w:firstLine="0"/>
        <w:jc w:val="center"/>
      </w:pPr>
      <w:r w:rsidRPr="00F92494">
        <w:t>Fulvio Attinà</w:t>
      </w:r>
    </w:p>
    <w:p w:rsidR="00AA5925" w:rsidRDefault="00AA5925" w:rsidP="00CB7ADF">
      <w:pPr>
        <w:spacing w:after="0"/>
        <w:ind w:firstLine="0"/>
        <w:jc w:val="center"/>
      </w:pPr>
      <w:r>
        <w:t>University of Catania</w:t>
      </w:r>
    </w:p>
    <w:p w:rsidR="00AA5925" w:rsidRPr="00F92494" w:rsidRDefault="00AA5925" w:rsidP="00CB7ADF">
      <w:pPr>
        <w:spacing w:after="0"/>
        <w:ind w:firstLine="0"/>
        <w:jc w:val="center"/>
      </w:pPr>
      <w:hyperlink r:id="rId7" w:history="1">
        <w:r w:rsidRPr="00460917">
          <w:rPr>
            <w:rStyle w:val="Hyperlink"/>
          </w:rPr>
          <w:t>attinaf@unict.it</w:t>
        </w:r>
      </w:hyperlink>
      <w:r>
        <w:t xml:space="preserve"> </w:t>
      </w:r>
    </w:p>
    <w:p w:rsidR="00AA5925" w:rsidRDefault="00AA5925" w:rsidP="00CB7ADF">
      <w:pPr>
        <w:spacing w:after="0"/>
        <w:ind w:firstLine="0"/>
        <w:jc w:val="center"/>
        <w:rPr>
          <w:i/>
          <w:iCs/>
        </w:rPr>
      </w:pPr>
    </w:p>
    <w:p w:rsidR="00AA5925" w:rsidRPr="00C92C64" w:rsidRDefault="00AA5925" w:rsidP="005E0B33">
      <w:pPr>
        <w:spacing w:after="0"/>
        <w:ind w:firstLine="0"/>
        <w:jc w:val="center"/>
      </w:pPr>
      <w:r w:rsidRPr="00C92C64">
        <w:t>EU AND THE DOUBLE-FACED MEDITERRANEAN MIGRATION CRISIS</w:t>
      </w:r>
    </w:p>
    <w:p w:rsidR="00AA5925" w:rsidRPr="00F92494" w:rsidRDefault="00AA5925" w:rsidP="00323363">
      <w:pPr>
        <w:ind w:firstLine="0"/>
        <w:jc w:val="right"/>
      </w:pPr>
    </w:p>
    <w:p w:rsidR="00AA5925" w:rsidRPr="00F92494" w:rsidRDefault="00AA5925" w:rsidP="0063096F">
      <w:r>
        <w:t>The</w:t>
      </w:r>
      <w:r w:rsidRPr="00F92494">
        <w:t xml:space="preserve"> </w:t>
      </w:r>
      <w:r>
        <w:t>inflow of people to Europe</w:t>
      </w:r>
      <w:r w:rsidRPr="007F3975">
        <w:t xml:space="preserve"> </w:t>
      </w:r>
      <w:r>
        <w:t>sailing</w:t>
      </w:r>
      <w:r w:rsidRPr="00F92494">
        <w:t xml:space="preserve"> unsafe boats </w:t>
      </w:r>
      <w:r>
        <w:t>to cross the Mediterranean has been on for years and has been growing in size</w:t>
      </w:r>
      <w:r w:rsidRPr="00F92494">
        <w:t xml:space="preserve"> </w:t>
      </w:r>
      <w:r>
        <w:t xml:space="preserve">since 2011 as </w:t>
      </w:r>
      <w:r w:rsidRPr="00F92494">
        <w:t xml:space="preserve">regime change </w:t>
      </w:r>
      <w:r>
        <w:t xml:space="preserve">and civil war </w:t>
      </w:r>
      <w:r w:rsidRPr="00F92494">
        <w:t xml:space="preserve">in Libya </w:t>
      </w:r>
      <w:r>
        <w:t>give</w:t>
      </w:r>
      <w:r w:rsidRPr="00F92494">
        <w:t xml:space="preserve"> </w:t>
      </w:r>
      <w:r>
        <w:t>a way</w:t>
      </w:r>
      <w:r w:rsidRPr="00F92494">
        <w:t xml:space="preserve"> to Europe</w:t>
      </w:r>
      <w:r w:rsidRPr="00494BB5">
        <w:t xml:space="preserve"> </w:t>
      </w:r>
      <w:r w:rsidRPr="00F92494">
        <w:t xml:space="preserve">to </w:t>
      </w:r>
      <w:r>
        <w:t xml:space="preserve">several thousands </w:t>
      </w:r>
      <w:r w:rsidRPr="00F92494">
        <w:t xml:space="preserve">people with no legal permit </w:t>
      </w:r>
      <w:r>
        <w:t>but the</w:t>
      </w:r>
      <w:r w:rsidRPr="00F92494">
        <w:t xml:space="preserve"> </w:t>
      </w:r>
      <w:r>
        <w:t>unsafe-boat service of</w:t>
      </w:r>
      <w:r w:rsidRPr="00F92494">
        <w:t xml:space="preserve"> </w:t>
      </w:r>
      <w:r>
        <w:t xml:space="preserve">unopposed criminal </w:t>
      </w:r>
      <w:r w:rsidRPr="00F92494">
        <w:t>groups</w:t>
      </w:r>
      <w:r>
        <w:t>. The Europe-bound people come</w:t>
      </w:r>
      <w:r w:rsidRPr="00F92494">
        <w:t xml:space="preserve"> from </w:t>
      </w:r>
      <w:r>
        <w:t xml:space="preserve">countries plagued by war, persecution and poverty in </w:t>
      </w:r>
      <w:r w:rsidRPr="00F92494">
        <w:t>the wide area ranging from North-Centr</w:t>
      </w:r>
      <w:r>
        <w:t xml:space="preserve">al Africa to South-Central Asia. </w:t>
      </w:r>
      <w:r w:rsidRPr="00F92494">
        <w:t xml:space="preserve">From October 2013, </w:t>
      </w:r>
      <w:r>
        <w:t xml:space="preserve">the phenomenon turned into a </w:t>
      </w:r>
      <w:r w:rsidRPr="00F92494">
        <w:t xml:space="preserve">complex </w:t>
      </w:r>
      <w:r>
        <w:t xml:space="preserve">European </w:t>
      </w:r>
      <w:r w:rsidRPr="00F92494">
        <w:t xml:space="preserve">crisis </w:t>
      </w:r>
      <w:r>
        <w:t xml:space="preserve">as </w:t>
      </w:r>
      <w:r w:rsidRPr="00F92494">
        <w:t>the Italian government</w:t>
      </w:r>
      <w:r>
        <w:t>,</w:t>
      </w:r>
      <w:r w:rsidRPr="004349C9">
        <w:t xml:space="preserve"> </w:t>
      </w:r>
      <w:r>
        <w:t xml:space="preserve">conforming to the </w:t>
      </w:r>
      <w:r>
        <w:rPr>
          <w:i/>
          <w:iCs/>
        </w:rPr>
        <w:t>Search and R</w:t>
      </w:r>
      <w:r w:rsidRPr="001C6387">
        <w:rPr>
          <w:i/>
          <w:iCs/>
        </w:rPr>
        <w:t>escue</w:t>
      </w:r>
      <w:r>
        <w:t xml:space="preserve"> international law norms and to humanitarian duties,</w:t>
      </w:r>
      <w:r w:rsidRPr="00F92494">
        <w:t xml:space="preserve"> </w:t>
      </w:r>
      <w:r>
        <w:t xml:space="preserve">launched </w:t>
      </w:r>
      <w:r w:rsidRPr="00F92494">
        <w:t xml:space="preserve">the </w:t>
      </w:r>
      <w:r>
        <w:t xml:space="preserve">Operation </w:t>
      </w:r>
      <w:r>
        <w:rPr>
          <w:i/>
          <w:iCs/>
        </w:rPr>
        <w:t>Mare Nostrum</w:t>
      </w:r>
      <w:r w:rsidRPr="00F92494">
        <w:t xml:space="preserve"> </w:t>
      </w:r>
      <w:r>
        <w:t>in the vacuum of humanitarian rescue actions by any state and organisations, and</w:t>
      </w:r>
      <w:r w:rsidRPr="00F92494">
        <w:t xml:space="preserve"> in dissonance with the </w:t>
      </w:r>
      <w:r>
        <w:t>views of the other</w:t>
      </w:r>
      <w:r w:rsidRPr="00F92494">
        <w:t xml:space="preserve"> Eur</w:t>
      </w:r>
      <w:r>
        <w:t>opean governments</w:t>
      </w:r>
      <w:r w:rsidRPr="00F92494">
        <w:t>.</w:t>
      </w:r>
      <w:r>
        <w:t xml:space="preserve"> Up to November 2014, the time the EU’s agency Frontex was given the mandate to carry on the mission of the Italian </w:t>
      </w:r>
      <w:r>
        <w:rPr>
          <w:i/>
          <w:iCs/>
        </w:rPr>
        <w:t xml:space="preserve">Mare Nostrum </w:t>
      </w:r>
      <w:r>
        <w:t>operation, t</w:t>
      </w:r>
      <w:r w:rsidRPr="00F92494">
        <w:t xml:space="preserve">he leaders and publics </w:t>
      </w:r>
      <w:r>
        <w:t xml:space="preserve">of Europe had turned their eyes off the humanitarian dimension of the people movement. </w:t>
      </w:r>
      <w:r w:rsidRPr="00F92494">
        <w:t>To European governments and the vocal public opinion</w:t>
      </w:r>
      <w:r>
        <w:t xml:space="preserve"> only</w:t>
      </w:r>
      <w:r w:rsidRPr="00A621C5">
        <w:t xml:space="preserve"> </w:t>
      </w:r>
      <w:r>
        <w:t>those carrying the permit of legal entry are to take in as</w:t>
      </w:r>
      <w:r w:rsidRPr="00F92494">
        <w:t xml:space="preserve"> the presence of un-authorized, culturally diverse, </w:t>
      </w:r>
      <w:r>
        <w:t xml:space="preserve">frequently </w:t>
      </w:r>
      <w:r w:rsidRPr="00F92494">
        <w:t>un</w:t>
      </w:r>
      <w:r>
        <w:t xml:space="preserve">skilled and always needy people badly endangers the welfare, </w:t>
      </w:r>
      <w:r w:rsidRPr="00F92494">
        <w:t>security</w:t>
      </w:r>
      <w:r>
        <w:t xml:space="preserve"> and integrity</w:t>
      </w:r>
      <w:r w:rsidRPr="006C657D">
        <w:t xml:space="preserve"> </w:t>
      </w:r>
      <w:r>
        <w:t>of the European countries</w:t>
      </w:r>
      <w:r w:rsidRPr="00F92494">
        <w:t>. The false perception of the crisis as on</w:t>
      </w:r>
      <w:r>
        <w:t>e-dimensional, i.e. as illegal (</w:t>
      </w:r>
      <w:r w:rsidRPr="00F92494">
        <w:t xml:space="preserve">economic) migration </w:t>
      </w:r>
      <w:r>
        <w:t>though with a reputed partial number of persons</w:t>
      </w:r>
      <w:r w:rsidRPr="00F92494">
        <w:t xml:space="preserve"> to </w:t>
      </w:r>
      <w:r>
        <w:t>check as asylum-seekers</w:t>
      </w:r>
      <w:r w:rsidRPr="00F92494">
        <w:t xml:space="preserve"> </w:t>
      </w:r>
      <w:r>
        <w:t>under</w:t>
      </w:r>
      <w:r w:rsidRPr="00F92494">
        <w:t xml:space="preserve"> the </w:t>
      </w:r>
      <w:r>
        <w:t>Dublin Convention scheme, has caused</w:t>
      </w:r>
      <w:r w:rsidRPr="00F92494">
        <w:t xml:space="preserve"> the inefficient crisis management course the EU institutions </w:t>
      </w:r>
      <w:r>
        <w:t xml:space="preserve">have been going </w:t>
      </w:r>
      <w:r w:rsidRPr="00F92494">
        <w:t>through</w:t>
      </w:r>
      <w:r>
        <w:t xml:space="preserve"> up to the present time</w:t>
      </w:r>
      <w:r w:rsidRPr="00F92494">
        <w:t xml:space="preserve">. </w:t>
      </w:r>
      <w:r>
        <w:t>But the decision to launch Triton did not reverse the situation. T</w:t>
      </w:r>
      <w:r w:rsidRPr="00F92494">
        <w:t xml:space="preserve">he European leaders </w:t>
      </w:r>
      <w:r>
        <w:t>remain uncertain</w:t>
      </w:r>
      <w:r w:rsidRPr="00F92494">
        <w:t xml:space="preserve"> </w:t>
      </w:r>
      <w:r>
        <w:t xml:space="preserve">and discordant </w:t>
      </w:r>
      <w:r w:rsidRPr="00F92494">
        <w:t xml:space="preserve">about </w:t>
      </w:r>
      <w:r>
        <w:t xml:space="preserve">to deal with the humanitarian response and as well about how to reshape </w:t>
      </w:r>
      <w:r w:rsidRPr="00F92494">
        <w:t xml:space="preserve">the </w:t>
      </w:r>
      <w:r>
        <w:t xml:space="preserve">EU immigration policy and upgrade the </w:t>
      </w:r>
      <w:r w:rsidRPr="00F92494">
        <w:t xml:space="preserve">external border control </w:t>
      </w:r>
      <w:r>
        <w:t>policy, both based on the shared powers of the Union and the states. Additionally, concern has been raised about</w:t>
      </w:r>
      <w:r w:rsidRPr="00F92494">
        <w:t xml:space="preserve"> </w:t>
      </w:r>
      <w:r>
        <w:t>amending</w:t>
      </w:r>
      <w:r w:rsidRPr="00F92494">
        <w:t xml:space="preserve"> the existing intra-EU free circulation of people ruled by the Schengen scheme. </w:t>
      </w:r>
    </w:p>
    <w:p w:rsidR="00AA5925" w:rsidRPr="00F92494" w:rsidRDefault="00AA5925" w:rsidP="0099134B">
      <w:r w:rsidRPr="00F92494">
        <w:t xml:space="preserve">To understand the false perception of the crisis and the consequent inconclusive (to the present time) management </w:t>
      </w:r>
      <w:r>
        <w:t xml:space="preserve">of the Mediterranean migration crisis </w:t>
      </w:r>
      <w:r w:rsidRPr="00F92494">
        <w:t xml:space="preserve">by the European leaders and institutions, the present papers (a) </w:t>
      </w:r>
      <w:r>
        <w:t>summarizes</w:t>
      </w:r>
      <w:r w:rsidRPr="00F92494">
        <w:t xml:space="preserve"> </w:t>
      </w:r>
      <w:r>
        <w:t xml:space="preserve">existing </w:t>
      </w:r>
      <w:r w:rsidRPr="00F92494">
        <w:t xml:space="preserve">knowledge </w:t>
      </w:r>
      <w:r>
        <w:t>relevant to explain the upsurge of contemporary migration and as well recalls the international law norms about rescuing people in distress at seawaters;</w:t>
      </w:r>
      <w:r w:rsidRPr="00F92494">
        <w:t xml:space="preserve"> and (b) </w:t>
      </w:r>
      <w:r>
        <w:t xml:space="preserve">traces back the present European policy stalemate with </w:t>
      </w:r>
      <w:r w:rsidRPr="00F92494">
        <w:t xml:space="preserve">three </w:t>
      </w:r>
      <w:r>
        <w:t xml:space="preserve">crisis </w:t>
      </w:r>
      <w:r w:rsidRPr="00F92494">
        <w:t xml:space="preserve">scenarios </w:t>
      </w:r>
      <w:r>
        <w:t>that</w:t>
      </w:r>
      <w:r w:rsidRPr="00F92494">
        <w:t xml:space="preserve"> followed one another in the time period 2011-2015. The three scenarios are (a) the early 2010s sc</w:t>
      </w:r>
      <w:r>
        <w:t>enario created by the EU’s mis</w:t>
      </w:r>
      <w:r w:rsidRPr="00F92494">
        <w:t xml:space="preserve">perception of the crisis </w:t>
      </w:r>
      <w:r>
        <w:t>based on the illegal migration dimensions and denying</w:t>
      </w:r>
      <w:r w:rsidRPr="00F92494">
        <w:t xml:space="preserve"> </w:t>
      </w:r>
      <w:r>
        <w:t xml:space="preserve">the other face of the coin, </w:t>
      </w:r>
      <w:r w:rsidRPr="00F92494">
        <w:t>the humanitarian dimension; (b) the scenario created by the Italian deci</w:t>
      </w:r>
      <w:r>
        <w:t>sion to launch in November 2013 and run, up to October 2014,</w:t>
      </w:r>
      <w:r w:rsidRPr="00F92494">
        <w:t xml:space="preserve"> the h</w:t>
      </w:r>
      <w:r>
        <w:t xml:space="preserve">umanitarian and border control Operation </w:t>
      </w:r>
      <w:r w:rsidRPr="00C55D24">
        <w:rPr>
          <w:i/>
          <w:iCs/>
        </w:rPr>
        <w:t>Mare Nostrum</w:t>
      </w:r>
      <w:r w:rsidRPr="00F92494">
        <w:t xml:space="preserve">, in </w:t>
      </w:r>
      <w:r>
        <w:t xml:space="preserve">apparent </w:t>
      </w:r>
      <w:r w:rsidRPr="00F92494">
        <w:t xml:space="preserve">conflict with the European partners; and (c) the scenario created by the EU’s </w:t>
      </w:r>
      <w:r>
        <w:t xml:space="preserve">late </w:t>
      </w:r>
      <w:r w:rsidRPr="00F92494">
        <w:t xml:space="preserve">recognition of the double nature of the crisis but </w:t>
      </w:r>
      <w:r>
        <w:t xml:space="preserve">the </w:t>
      </w:r>
      <w:r w:rsidRPr="00F92494">
        <w:t xml:space="preserve">persistent preference for traditional border control and the Dublin rules as crisis management means, underestimation of the humanitarian dimension also with the decision to launch the </w:t>
      </w:r>
      <w:r>
        <w:t>O</w:t>
      </w:r>
      <w:r w:rsidRPr="00F92494">
        <w:t>peration ‘Triton’ in November 2014, and the hard and grim process of the Commission ‘quota system’ proposal</w:t>
      </w:r>
      <w:r w:rsidRPr="00F92494">
        <w:rPr>
          <w:rStyle w:val="FootnoteReference"/>
        </w:rPr>
        <w:footnoteReference w:id="1"/>
      </w:r>
      <w:r w:rsidRPr="00F92494">
        <w:t>.</w:t>
      </w:r>
    </w:p>
    <w:p w:rsidR="00AA5925" w:rsidRDefault="00AA5925" w:rsidP="009179DD">
      <w:r>
        <w:t xml:space="preserve">The analysis of the three scenarios has highlighted flaws in the perception and management of the Mediterranean migration crisis by the EU and the Member States governments. </w:t>
      </w:r>
      <w:r w:rsidRPr="00F92494">
        <w:t>The</w:t>
      </w:r>
      <w:r>
        <w:t>y</w:t>
      </w:r>
      <w:r w:rsidRPr="00F92494">
        <w:t xml:space="preserve"> </w:t>
      </w:r>
      <w:r>
        <w:t>passed from the one-dimension representation of the phenomenon as illegal (economic) immigration, to the official recognition of the double dimension of the phenomenon. Yet, they differ</w:t>
      </w:r>
      <w:r w:rsidRPr="00F92494">
        <w:t xml:space="preserve"> about </w:t>
      </w:r>
      <w:r>
        <w:t xml:space="preserve">how to manage the migratory and especially the humanitarian dimension. Consequently, the Mediterranean migration crisis has turned </w:t>
      </w:r>
      <w:r w:rsidRPr="00F92494">
        <w:t>into a source of stress and destabilization of the relationship among the Member states and between</w:t>
      </w:r>
      <w:r>
        <w:t xml:space="preserve"> EU states and institutions. At no surprise, in such troubled waters the governments do not deviate from the usual migration policy, and the EU is unable to issue a </w:t>
      </w:r>
      <w:r w:rsidRPr="00F92494">
        <w:t>strategy</w:t>
      </w:r>
      <w:r>
        <w:t xml:space="preserve"> up to the need.</w:t>
      </w:r>
    </w:p>
    <w:p w:rsidR="00AA5925" w:rsidRPr="00F92494" w:rsidRDefault="00AA5925" w:rsidP="0006397C">
      <w:r>
        <w:t>The existing European agreement on blocking illegal immigration and keeping on,</w:t>
      </w:r>
      <w:r w:rsidRPr="009032B6">
        <w:t xml:space="preserve"> </w:t>
      </w:r>
      <w:r>
        <w:t>to implement such agreement, with the option of aiding the European Southern countries on condition that they abide to the usual admission rules does not show as effective solution to the problem as it overlooks the requisite of building appropriate responses to the global drivers of current migration. Signing readmission agreement with outflow countries is only short-time solution as many repatriated people try to migrate again</w:t>
      </w:r>
      <w:r w:rsidRPr="00674941">
        <w:t xml:space="preserve"> </w:t>
      </w:r>
      <w:r>
        <w:t>due to the persistent push of the driving factors. Externalizing refugee assistance by aiding third countries to organise</w:t>
      </w:r>
      <w:r w:rsidRPr="009F18FD">
        <w:t xml:space="preserve"> </w:t>
      </w:r>
      <w:r>
        <w:t>refugee camps in the areas of crisis is questionable as the existing camps are overcrowded and in clear un-humanitarian conditions. Keeping with the existing asylum policy and the Dublin Convention rules is ostensibly against the wish of most asylum-seekers and the will of some EU governments. Aiding outflow countries to develop economically and politically is good but is not the solution of today problem. Briefly, the EU has to recognize the present migration problem within the frame of the global trends, as studies issued by the Commission recognize, and adopt urgently appropriate actions and programmes to lower down and gradually end the crisis.</w:t>
      </w:r>
    </w:p>
    <w:sectPr w:rsidR="00AA5925" w:rsidRPr="00F92494" w:rsidSect="00091688">
      <w:footerReference w:type="default" r:id="rId8"/>
      <w:pgSz w:w="11900" w:h="16840"/>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5925" w:rsidRDefault="00AA5925" w:rsidP="0037692D">
      <w:r>
        <w:separator/>
      </w:r>
    </w:p>
  </w:endnote>
  <w:endnote w:type="continuationSeparator" w:id="0">
    <w:p w:rsidR="00AA5925" w:rsidRDefault="00AA5925" w:rsidP="0037692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merican Typewriter">
    <w:panose1 w:val="00000000000000000000"/>
    <w:charset w:val="00"/>
    <w:family w:val="auto"/>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MS Mincho">
    <w:altName w:val="MS Gothic"/>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EC Square Sans Pro">
    <w:altName w:val="Cambria"/>
    <w:panose1 w:val="00000000000000000000"/>
    <w:charset w:val="00"/>
    <w:family w:val="swiss"/>
    <w:notTrueType/>
    <w:pitch w:val="default"/>
    <w:sig w:usb0="00000003" w:usb1="00000000" w:usb2="00000000" w:usb3="00000000" w:csb0="00000001" w:csb1="00000000"/>
  </w:font>
  <w:font w:name="Lucida Grande">
    <w:panose1 w:val="00000000000000000000"/>
    <w:charset w:val="00"/>
    <w:family w:val="auto"/>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5925" w:rsidRDefault="00AA5925" w:rsidP="0037692D">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AA5925" w:rsidRDefault="00AA5925" w:rsidP="0037692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5925" w:rsidRDefault="00AA5925" w:rsidP="0037692D">
      <w:r>
        <w:separator/>
      </w:r>
    </w:p>
  </w:footnote>
  <w:footnote w:type="continuationSeparator" w:id="0">
    <w:p w:rsidR="00AA5925" w:rsidRDefault="00AA5925" w:rsidP="0037692D">
      <w:r>
        <w:continuationSeparator/>
      </w:r>
    </w:p>
  </w:footnote>
  <w:footnote w:id="1">
    <w:p w:rsidR="00AA5925" w:rsidRDefault="00AA5925" w:rsidP="00F1644E">
      <w:pPr>
        <w:widowControl w:val="0"/>
        <w:autoSpaceDE w:val="0"/>
        <w:autoSpaceDN w:val="0"/>
        <w:adjustRightInd w:val="0"/>
        <w:spacing w:after="0"/>
        <w:ind w:firstLine="0"/>
      </w:pPr>
      <w:r w:rsidRPr="00902277">
        <w:rPr>
          <w:rStyle w:val="FootnoteReference"/>
        </w:rPr>
        <w:footnoteRef/>
      </w:r>
      <w:r w:rsidRPr="00902277">
        <w:t xml:space="preserve"> </w:t>
      </w:r>
      <w:r w:rsidRPr="00902277">
        <w:rPr>
          <w:sz w:val="20"/>
          <w:szCs w:val="20"/>
        </w:rPr>
        <w:t>The present paper is authored by the principle investigator of two research projects</w:t>
      </w:r>
      <w:r>
        <w:rPr>
          <w:sz w:val="20"/>
          <w:szCs w:val="20"/>
        </w:rPr>
        <w:t xml:space="preserve"> at the University of Catania</w:t>
      </w:r>
      <w:r w:rsidRPr="00902277">
        <w:rPr>
          <w:sz w:val="20"/>
          <w:szCs w:val="20"/>
        </w:rPr>
        <w:t xml:space="preserve">, the </w:t>
      </w:r>
      <w:hyperlink r:id="rId1" w:history="1">
        <w:r w:rsidRPr="00902277">
          <w:rPr>
            <w:rStyle w:val="Hyperlink"/>
            <w:i/>
            <w:iCs/>
            <w:sz w:val="20"/>
            <w:szCs w:val="20"/>
          </w:rPr>
          <w:t>Military Humanitarian Operations at a Crossroad? The Mare Nostrum Operation</w:t>
        </w:r>
      </w:hyperlink>
      <w:r w:rsidRPr="00902277">
        <w:rPr>
          <w:sz w:val="20"/>
          <w:szCs w:val="20"/>
        </w:rPr>
        <w:t xml:space="preserve"> </w:t>
      </w:r>
      <w:r>
        <w:rPr>
          <w:sz w:val="20"/>
          <w:szCs w:val="20"/>
        </w:rPr>
        <w:t xml:space="preserve">project, </w:t>
      </w:r>
      <w:r w:rsidRPr="00902277">
        <w:rPr>
          <w:sz w:val="20"/>
          <w:szCs w:val="20"/>
        </w:rPr>
        <w:t>Project funded under University of Catania FIR 2014 programme, and the Project 4.2 of</w:t>
      </w:r>
      <w:r w:rsidRPr="00902277">
        <w:rPr>
          <w:i/>
          <w:iCs/>
          <w:sz w:val="20"/>
          <w:szCs w:val="20"/>
        </w:rPr>
        <w:t xml:space="preserve"> </w:t>
      </w:r>
      <w:hyperlink r:id="rId2" w:history="1">
        <w:r w:rsidRPr="00902277">
          <w:rPr>
            <w:rStyle w:val="Hyperlink"/>
            <w:i/>
            <w:iCs/>
            <w:sz w:val="20"/>
            <w:szCs w:val="20"/>
          </w:rPr>
          <w:t>TransCrisis</w:t>
        </w:r>
      </w:hyperlink>
      <w:r w:rsidRPr="00902277">
        <w:rPr>
          <w:i/>
          <w:iCs/>
          <w:sz w:val="20"/>
          <w:szCs w:val="20"/>
        </w:rPr>
        <w:t>,</w:t>
      </w:r>
      <w:r w:rsidRPr="00902277">
        <w:rPr>
          <w:sz w:val="20"/>
          <w:szCs w:val="20"/>
        </w:rPr>
        <w:t xml:space="preserve"> funded under the European Commission's Horizon2020 programme.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325B4BC"/>
    <w:multiLevelType w:val="hybridMultilevel"/>
    <w:tmpl w:val="4747EF6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C975D5"/>
    <w:multiLevelType w:val="multilevel"/>
    <w:tmpl w:val="0410001F"/>
    <w:styleLink w:val="Stile1"/>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cs="Symbol" w:hint="default"/>
      </w:rPr>
    </w:lvl>
    <w:lvl w:ilvl="2">
      <w:start w:val="1"/>
      <w:numFmt w:val="bullet"/>
      <w:lvlText w:val=""/>
      <w:lvlJc w:val="left"/>
      <w:pPr>
        <w:ind w:left="1224" w:hanging="504"/>
      </w:pPr>
      <w:rPr>
        <w:rFonts w:ascii="American Typewriter" w:hAnsi="American Typewriter" w:cs="American Typewriter" w:hint="default"/>
      </w:rPr>
    </w:lvl>
    <w:lvl w:ilvl="3">
      <w:start w:val="1"/>
      <w:numFmt w:val="bullet"/>
      <w:lvlText w:val=""/>
      <w:lvlJc w:val="left"/>
      <w:pPr>
        <w:ind w:left="1728" w:hanging="648"/>
      </w:pPr>
      <w:rPr>
        <w:rFonts w:ascii="Wingdings" w:hAnsi="Wingdings" w:cs="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6227BC8"/>
    <w:multiLevelType w:val="hybridMultilevel"/>
    <w:tmpl w:val="169E08D2"/>
    <w:lvl w:ilvl="0" w:tplc="C15A172C">
      <w:start w:val="1"/>
      <w:numFmt w:val="decimal"/>
      <w:lvlText w:val="%1."/>
      <w:lvlJc w:val="left"/>
      <w:pPr>
        <w:ind w:left="36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
    <w:nsid w:val="0B9D43ED"/>
    <w:multiLevelType w:val="hybridMultilevel"/>
    <w:tmpl w:val="633EA686"/>
    <w:lvl w:ilvl="0" w:tplc="C15A172C">
      <w:start w:val="1"/>
      <w:numFmt w:val="decimal"/>
      <w:lvlText w:val="%1."/>
      <w:lvlJc w:val="left"/>
      <w:pPr>
        <w:ind w:left="360" w:hanging="360"/>
      </w:pPr>
      <w:rPr>
        <w:rFonts w:hint="default"/>
      </w:r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abstractNum w:abstractNumId="4">
    <w:nsid w:val="0EAD2841"/>
    <w:multiLevelType w:val="hybridMultilevel"/>
    <w:tmpl w:val="0160173C"/>
    <w:lvl w:ilvl="0" w:tplc="04100017">
      <w:start w:val="1"/>
      <w:numFmt w:val="lowerLetter"/>
      <w:lvlText w:val="%1)"/>
      <w:lvlJc w:val="left"/>
      <w:pPr>
        <w:ind w:left="1069" w:hanging="360"/>
      </w:pPr>
    </w:lvl>
    <w:lvl w:ilvl="1" w:tplc="04100019">
      <w:start w:val="1"/>
      <w:numFmt w:val="lowerLetter"/>
      <w:lvlText w:val="%2."/>
      <w:lvlJc w:val="left"/>
      <w:pPr>
        <w:ind w:left="1789" w:hanging="360"/>
      </w:pPr>
    </w:lvl>
    <w:lvl w:ilvl="2" w:tplc="0410001B">
      <w:start w:val="1"/>
      <w:numFmt w:val="lowerRoman"/>
      <w:lvlText w:val="%3."/>
      <w:lvlJc w:val="right"/>
      <w:pPr>
        <w:ind w:left="2509" w:hanging="180"/>
      </w:pPr>
    </w:lvl>
    <w:lvl w:ilvl="3" w:tplc="0410000F">
      <w:start w:val="1"/>
      <w:numFmt w:val="decimal"/>
      <w:lvlText w:val="%4."/>
      <w:lvlJc w:val="left"/>
      <w:pPr>
        <w:ind w:left="3229" w:hanging="360"/>
      </w:pPr>
    </w:lvl>
    <w:lvl w:ilvl="4" w:tplc="04100019">
      <w:start w:val="1"/>
      <w:numFmt w:val="lowerLetter"/>
      <w:lvlText w:val="%5."/>
      <w:lvlJc w:val="left"/>
      <w:pPr>
        <w:ind w:left="3949" w:hanging="360"/>
      </w:pPr>
    </w:lvl>
    <w:lvl w:ilvl="5" w:tplc="0410001B">
      <w:start w:val="1"/>
      <w:numFmt w:val="lowerRoman"/>
      <w:lvlText w:val="%6."/>
      <w:lvlJc w:val="right"/>
      <w:pPr>
        <w:ind w:left="4669" w:hanging="180"/>
      </w:pPr>
    </w:lvl>
    <w:lvl w:ilvl="6" w:tplc="0410000F">
      <w:start w:val="1"/>
      <w:numFmt w:val="decimal"/>
      <w:lvlText w:val="%7."/>
      <w:lvlJc w:val="left"/>
      <w:pPr>
        <w:ind w:left="5389" w:hanging="360"/>
      </w:pPr>
    </w:lvl>
    <w:lvl w:ilvl="7" w:tplc="04100019">
      <w:start w:val="1"/>
      <w:numFmt w:val="lowerLetter"/>
      <w:lvlText w:val="%8."/>
      <w:lvlJc w:val="left"/>
      <w:pPr>
        <w:ind w:left="6109" w:hanging="360"/>
      </w:pPr>
    </w:lvl>
    <w:lvl w:ilvl="8" w:tplc="0410001B">
      <w:start w:val="1"/>
      <w:numFmt w:val="lowerRoman"/>
      <w:lvlText w:val="%9."/>
      <w:lvlJc w:val="right"/>
      <w:pPr>
        <w:ind w:left="6829" w:hanging="180"/>
      </w:pPr>
    </w:lvl>
  </w:abstractNum>
  <w:abstractNum w:abstractNumId="5">
    <w:nsid w:val="16E16C02"/>
    <w:multiLevelType w:val="hybridMultilevel"/>
    <w:tmpl w:val="D10AE884"/>
    <w:lvl w:ilvl="0" w:tplc="0410000F">
      <w:start w:val="1"/>
      <w:numFmt w:val="decimal"/>
      <w:lvlText w:val="%1."/>
      <w:lvlJc w:val="left"/>
      <w:pPr>
        <w:ind w:left="770" w:hanging="360"/>
      </w:pPr>
    </w:lvl>
    <w:lvl w:ilvl="1" w:tplc="04100019">
      <w:start w:val="1"/>
      <w:numFmt w:val="lowerLetter"/>
      <w:lvlText w:val="%2."/>
      <w:lvlJc w:val="left"/>
      <w:pPr>
        <w:ind w:left="1490" w:hanging="360"/>
      </w:pPr>
    </w:lvl>
    <w:lvl w:ilvl="2" w:tplc="0410001B">
      <w:start w:val="1"/>
      <w:numFmt w:val="lowerRoman"/>
      <w:lvlText w:val="%3."/>
      <w:lvlJc w:val="right"/>
      <w:pPr>
        <w:ind w:left="2210" w:hanging="180"/>
      </w:pPr>
    </w:lvl>
    <w:lvl w:ilvl="3" w:tplc="0410000F">
      <w:start w:val="1"/>
      <w:numFmt w:val="decimal"/>
      <w:lvlText w:val="%4."/>
      <w:lvlJc w:val="left"/>
      <w:pPr>
        <w:ind w:left="2930" w:hanging="360"/>
      </w:pPr>
    </w:lvl>
    <w:lvl w:ilvl="4" w:tplc="04100019">
      <w:start w:val="1"/>
      <w:numFmt w:val="lowerLetter"/>
      <w:lvlText w:val="%5."/>
      <w:lvlJc w:val="left"/>
      <w:pPr>
        <w:ind w:left="3650" w:hanging="360"/>
      </w:pPr>
    </w:lvl>
    <w:lvl w:ilvl="5" w:tplc="0410001B">
      <w:start w:val="1"/>
      <w:numFmt w:val="lowerRoman"/>
      <w:lvlText w:val="%6."/>
      <w:lvlJc w:val="right"/>
      <w:pPr>
        <w:ind w:left="4370" w:hanging="180"/>
      </w:pPr>
    </w:lvl>
    <w:lvl w:ilvl="6" w:tplc="0410000F">
      <w:start w:val="1"/>
      <w:numFmt w:val="decimal"/>
      <w:lvlText w:val="%7."/>
      <w:lvlJc w:val="left"/>
      <w:pPr>
        <w:ind w:left="5090" w:hanging="360"/>
      </w:pPr>
    </w:lvl>
    <w:lvl w:ilvl="7" w:tplc="04100019">
      <w:start w:val="1"/>
      <w:numFmt w:val="lowerLetter"/>
      <w:lvlText w:val="%8."/>
      <w:lvlJc w:val="left"/>
      <w:pPr>
        <w:ind w:left="5810" w:hanging="360"/>
      </w:pPr>
    </w:lvl>
    <w:lvl w:ilvl="8" w:tplc="0410001B">
      <w:start w:val="1"/>
      <w:numFmt w:val="lowerRoman"/>
      <w:lvlText w:val="%9."/>
      <w:lvlJc w:val="right"/>
      <w:pPr>
        <w:ind w:left="6530" w:hanging="180"/>
      </w:pPr>
    </w:lvl>
  </w:abstractNum>
  <w:abstractNum w:abstractNumId="6">
    <w:nsid w:val="212D6DBB"/>
    <w:multiLevelType w:val="hybridMultilevel"/>
    <w:tmpl w:val="D4E04CF4"/>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abstractNum w:abstractNumId="7">
    <w:nsid w:val="22D03914"/>
    <w:multiLevelType w:val="hybridMultilevel"/>
    <w:tmpl w:val="C742E9BE"/>
    <w:lvl w:ilvl="0" w:tplc="D52C8258">
      <w:start w:val="1"/>
      <w:numFmt w:val="lowerLetter"/>
      <w:lvlText w:val="%1)"/>
      <w:lvlJc w:val="left"/>
      <w:pPr>
        <w:ind w:left="624" w:hanging="340"/>
      </w:pPr>
      <w:rPr>
        <w:rFonts w:hint="default"/>
      </w:rPr>
    </w:lvl>
    <w:lvl w:ilvl="1" w:tplc="04100001">
      <w:start w:val="1"/>
      <w:numFmt w:val="bullet"/>
      <w:lvlText w:val=""/>
      <w:lvlJc w:val="left"/>
      <w:pPr>
        <w:ind w:left="1788" w:hanging="360"/>
      </w:pPr>
      <w:rPr>
        <w:rFonts w:ascii="Symbol" w:hAnsi="Symbol" w:cs="Symbol" w:hint="default"/>
      </w:rPr>
    </w:lvl>
    <w:lvl w:ilvl="2" w:tplc="0410001B">
      <w:start w:val="1"/>
      <w:numFmt w:val="lowerRoman"/>
      <w:lvlText w:val="%3."/>
      <w:lvlJc w:val="right"/>
      <w:pPr>
        <w:ind w:left="2508" w:hanging="180"/>
      </w:pPr>
    </w:lvl>
    <w:lvl w:ilvl="3" w:tplc="0410000F">
      <w:start w:val="1"/>
      <w:numFmt w:val="decimal"/>
      <w:lvlText w:val="%4."/>
      <w:lvlJc w:val="left"/>
      <w:pPr>
        <w:ind w:left="3228" w:hanging="360"/>
      </w:pPr>
    </w:lvl>
    <w:lvl w:ilvl="4" w:tplc="04100019">
      <w:start w:val="1"/>
      <w:numFmt w:val="lowerLetter"/>
      <w:lvlText w:val="%5."/>
      <w:lvlJc w:val="left"/>
      <w:pPr>
        <w:ind w:left="3948" w:hanging="360"/>
      </w:pPr>
    </w:lvl>
    <w:lvl w:ilvl="5" w:tplc="0410001B">
      <w:start w:val="1"/>
      <w:numFmt w:val="lowerRoman"/>
      <w:lvlText w:val="%6."/>
      <w:lvlJc w:val="right"/>
      <w:pPr>
        <w:ind w:left="4668" w:hanging="180"/>
      </w:pPr>
    </w:lvl>
    <w:lvl w:ilvl="6" w:tplc="0410000F">
      <w:start w:val="1"/>
      <w:numFmt w:val="decimal"/>
      <w:lvlText w:val="%7."/>
      <w:lvlJc w:val="left"/>
      <w:pPr>
        <w:ind w:left="5388" w:hanging="360"/>
      </w:pPr>
    </w:lvl>
    <w:lvl w:ilvl="7" w:tplc="04100019">
      <w:start w:val="1"/>
      <w:numFmt w:val="lowerLetter"/>
      <w:lvlText w:val="%8."/>
      <w:lvlJc w:val="left"/>
      <w:pPr>
        <w:ind w:left="6108" w:hanging="360"/>
      </w:pPr>
    </w:lvl>
    <w:lvl w:ilvl="8" w:tplc="0410001B">
      <w:start w:val="1"/>
      <w:numFmt w:val="lowerRoman"/>
      <w:lvlText w:val="%9."/>
      <w:lvlJc w:val="right"/>
      <w:pPr>
        <w:ind w:left="6828" w:hanging="180"/>
      </w:pPr>
    </w:lvl>
  </w:abstractNum>
  <w:abstractNum w:abstractNumId="8">
    <w:nsid w:val="2B9530F6"/>
    <w:multiLevelType w:val="hybridMultilevel"/>
    <w:tmpl w:val="EF9845F8"/>
    <w:lvl w:ilvl="0" w:tplc="C15A172C">
      <w:start w:val="1"/>
      <w:numFmt w:val="decimal"/>
      <w:lvlText w:val="%1."/>
      <w:lvlJc w:val="left"/>
      <w:pPr>
        <w:ind w:left="36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9">
    <w:nsid w:val="2E052AD6"/>
    <w:multiLevelType w:val="hybridMultilevel"/>
    <w:tmpl w:val="32C634AA"/>
    <w:lvl w:ilvl="0" w:tplc="AC780680">
      <w:start w:val="1"/>
      <w:numFmt w:val="bullet"/>
      <w:lvlText w:val=""/>
      <w:lvlJc w:val="left"/>
      <w:pPr>
        <w:tabs>
          <w:tab w:val="num" w:pos="720"/>
        </w:tabs>
        <w:ind w:left="720" w:hanging="360"/>
      </w:pPr>
      <w:rPr>
        <w:rFonts w:ascii="Wingdings 2" w:hAnsi="Wingdings 2" w:cs="Wingdings 2" w:hint="default"/>
      </w:rPr>
    </w:lvl>
    <w:lvl w:ilvl="1" w:tplc="ADD2EFDA">
      <w:start w:val="1"/>
      <w:numFmt w:val="bullet"/>
      <w:lvlText w:val=""/>
      <w:lvlJc w:val="left"/>
      <w:pPr>
        <w:tabs>
          <w:tab w:val="num" w:pos="1440"/>
        </w:tabs>
        <w:ind w:left="1440" w:hanging="360"/>
      </w:pPr>
      <w:rPr>
        <w:rFonts w:ascii="Wingdings 2" w:hAnsi="Wingdings 2" w:cs="Wingdings 2" w:hint="default"/>
      </w:rPr>
    </w:lvl>
    <w:lvl w:ilvl="2" w:tplc="15BE87EA">
      <w:start w:val="1"/>
      <w:numFmt w:val="bullet"/>
      <w:lvlText w:val=""/>
      <w:lvlJc w:val="left"/>
      <w:pPr>
        <w:tabs>
          <w:tab w:val="num" w:pos="2160"/>
        </w:tabs>
        <w:ind w:left="2160" w:hanging="360"/>
      </w:pPr>
      <w:rPr>
        <w:rFonts w:ascii="Wingdings 2" w:hAnsi="Wingdings 2" w:cs="Wingdings 2" w:hint="default"/>
      </w:rPr>
    </w:lvl>
    <w:lvl w:ilvl="3" w:tplc="8D103148">
      <w:start w:val="1"/>
      <w:numFmt w:val="bullet"/>
      <w:lvlText w:val=""/>
      <w:lvlJc w:val="left"/>
      <w:pPr>
        <w:tabs>
          <w:tab w:val="num" w:pos="2880"/>
        </w:tabs>
        <w:ind w:left="2880" w:hanging="360"/>
      </w:pPr>
      <w:rPr>
        <w:rFonts w:ascii="Wingdings 2" w:hAnsi="Wingdings 2" w:cs="Wingdings 2" w:hint="default"/>
      </w:rPr>
    </w:lvl>
    <w:lvl w:ilvl="4" w:tplc="1DC2ED24">
      <w:start w:val="1"/>
      <w:numFmt w:val="bullet"/>
      <w:lvlText w:val=""/>
      <w:lvlJc w:val="left"/>
      <w:pPr>
        <w:tabs>
          <w:tab w:val="num" w:pos="3600"/>
        </w:tabs>
        <w:ind w:left="3600" w:hanging="360"/>
      </w:pPr>
      <w:rPr>
        <w:rFonts w:ascii="Wingdings 2" w:hAnsi="Wingdings 2" w:cs="Wingdings 2" w:hint="default"/>
      </w:rPr>
    </w:lvl>
    <w:lvl w:ilvl="5" w:tplc="FDFA00A6">
      <w:start w:val="1"/>
      <w:numFmt w:val="bullet"/>
      <w:lvlText w:val=""/>
      <w:lvlJc w:val="left"/>
      <w:pPr>
        <w:tabs>
          <w:tab w:val="num" w:pos="4320"/>
        </w:tabs>
        <w:ind w:left="4320" w:hanging="360"/>
      </w:pPr>
      <w:rPr>
        <w:rFonts w:ascii="Wingdings 2" w:hAnsi="Wingdings 2" w:cs="Wingdings 2" w:hint="default"/>
      </w:rPr>
    </w:lvl>
    <w:lvl w:ilvl="6" w:tplc="567AFD9C">
      <w:start w:val="1"/>
      <w:numFmt w:val="bullet"/>
      <w:lvlText w:val=""/>
      <w:lvlJc w:val="left"/>
      <w:pPr>
        <w:tabs>
          <w:tab w:val="num" w:pos="5040"/>
        </w:tabs>
        <w:ind w:left="5040" w:hanging="360"/>
      </w:pPr>
      <w:rPr>
        <w:rFonts w:ascii="Wingdings 2" w:hAnsi="Wingdings 2" w:cs="Wingdings 2" w:hint="default"/>
      </w:rPr>
    </w:lvl>
    <w:lvl w:ilvl="7" w:tplc="E056E608">
      <w:start w:val="1"/>
      <w:numFmt w:val="bullet"/>
      <w:lvlText w:val=""/>
      <w:lvlJc w:val="left"/>
      <w:pPr>
        <w:tabs>
          <w:tab w:val="num" w:pos="5760"/>
        </w:tabs>
        <w:ind w:left="5760" w:hanging="360"/>
      </w:pPr>
      <w:rPr>
        <w:rFonts w:ascii="Wingdings 2" w:hAnsi="Wingdings 2" w:cs="Wingdings 2" w:hint="default"/>
      </w:rPr>
    </w:lvl>
    <w:lvl w:ilvl="8" w:tplc="72FA65C0">
      <w:start w:val="1"/>
      <w:numFmt w:val="bullet"/>
      <w:lvlText w:val=""/>
      <w:lvlJc w:val="left"/>
      <w:pPr>
        <w:tabs>
          <w:tab w:val="num" w:pos="6480"/>
        </w:tabs>
        <w:ind w:left="6480" w:hanging="360"/>
      </w:pPr>
      <w:rPr>
        <w:rFonts w:ascii="Wingdings 2" w:hAnsi="Wingdings 2" w:cs="Wingdings 2" w:hint="default"/>
      </w:rPr>
    </w:lvl>
  </w:abstractNum>
  <w:abstractNum w:abstractNumId="10">
    <w:nsid w:val="32FC2699"/>
    <w:multiLevelType w:val="hybridMultilevel"/>
    <w:tmpl w:val="3D066DBC"/>
    <w:lvl w:ilvl="0" w:tplc="0410000F">
      <w:start w:val="1"/>
      <w:numFmt w:val="decimal"/>
      <w:lvlText w:val="%1."/>
      <w:lvlJc w:val="left"/>
      <w:pPr>
        <w:ind w:left="360" w:hanging="360"/>
      </w:pPr>
    </w:lvl>
    <w:lvl w:ilvl="1" w:tplc="4A0AC8D4">
      <w:start w:val="1"/>
      <w:numFmt w:val="lowerLetter"/>
      <w:lvlText w:val="(%2)"/>
      <w:lvlJc w:val="left"/>
      <w:pPr>
        <w:ind w:left="1760" w:hanging="1040"/>
      </w:pPr>
      <w:rPr>
        <w:rFonts w:hint="default"/>
      </w:r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abstractNum w:abstractNumId="11">
    <w:nsid w:val="35FE0B96"/>
    <w:multiLevelType w:val="multilevel"/>
    <w:tmpl w:val="04100021"/>
    <w:lvl w:ilvl="0">
      <w:start w:val="1"/>
      <w:numFmt w:val="bullet"/>
      <w:lvlText w:val=""/>
      <w:lvlJc w:val="left"/>
      <w:pPr>
        <w:ind w:left="360" w:hanging="360"/>
      </w:pPr>
      <w:rPr>
        <w:rFonts w:ascii="Wingdings" w:hAnsi="Wingdings" w:cs="Wingdings" w:hint="default"/>
      </w:rPr>
    </w:lvl>
    <w:lvl w:ilvl="1">
      <w:start w:val="1"/>
      <w:numFmt w:val="bullet"/>
      <w:lvlText w:val=""/>
      <w:lvlJc w:val="left"/>
      <w:pPr>
        <w:ind w:left="720" w:hanging="360"/>
      </w:pPr>
      <w:rPr>
        <w:rFonts w:ascii="Wingdings" w:hAnsi="Wingdings" w:cs="Wingdings" w:hint="default"/>
      </w:rPr>
    </w:lvl>
    <w:lvl w:ilvl="2">
      <w:start w:val="1"/>
      <w:numFmt w:val="bullet"/>
      <w:lvlText w:val=""/>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cs="Symbol" w:hint="default"/>
      </w:rPr>
    </w:lvl>
    <w:lvl w:ilvl="4">
      <w:start w:val="1"/>
      <w:numFmt w:val="bullet"/>
      <w:lvlText w:val=""/>
      <w:lvlJc w:val="left"/>
      <w:pPr>
        <w:ind w:left="1800" w:hanging="360"/>
      </w:pPr>
      <w:rPr>
        <w:rFonts w:ascii="Symbol" w:hAnsi="Symbol" w:cs="Symbol" w:hint="default"/>
      </w:rPr>
    </w:lvl>
    <w:lvl w:ilvl="5">
      <w:start w:val="1"/>
      <w:numFmt w:val="bullet"/>
      <w:lvlText w:val=""/>
      <w:lvlJc w:val="left"/>
      <w:pPr>
        <w:ind w:left="2160" w:hanging="360"/>
      </w:pPr>
      <w:rPr>
        <w:rFonts w:ascii="Wingdings" w:hAnsi="Wingdings" w:cs="Wingdings" w:hint="default"/>
      </w:rPr>
    </w:lvl>
    <w:lvl w:ilvl="6">
      <w:start w:val="1"/>
      <w:numFmt w:val="bullet"/>
      <w:lvlText w:val=""/>
      <w:lvlJc w:val="left"/>
      <w:pPr>
        <w:ind w:left="2520" w:hanging="360"/>
      </w:pPr>
      <w:rPr>
        <w:rFonts w:ascii="Wingdings" w:hAnsi="Wingdings" w:cs="Wingdings" w:hint="default"/>
      </w:rPr>
    </w:lvl>
    <w:lvl w:ilvl="7">
      <w:start w:val="1"/>
      <w:numFmt w:val="bullet"/>
      <w:lvlText w:val=""/>
      <w:lvlJc w:val="left"/>
      <w:pPr>
        <w:ind w:left="2880" w:hanging="360"/>
      </w:pPr>
      <w:rPr>
        <w:rFonts w:ascii="Symbol" w:hAnsi="Symbol" w:cs="Symbol" w:hint="default"/>
      </w:rPr>
    </w:lvl>
    <w:lvl w:ilvl="8">
      <w:start w:val="1"/>
      <w:numFmt w:val="bullet"/>
      <w:lvlText w:val=""/>
      <w:lvlJc w:val="left"/>
      <w:pPr>
        <w:ind w:left="3240" w:hanging="360"/>
      </w:pPr>
      <w:rPr>
        <w:rFonts w:ascii="Symbol" w:hAnsi="Symbol" w:cs="Symbol" w:hint="default"/>
      </w:rPr>
    </w:lvl>
  </w:abstractNum>
  <w:abstractNum w:abstractNumId="12">
    <w:nsid w:val="405007AF"/>
    <w:multiLevelType w:val="hybridMultilevel"/>
    <w:tmpl w:val="EF7E495C"/>
    <w:lvl w:ilvl="0" w:tplc="04100001">
      <w:start w:val="1"/>
      <w:numFmt w:val="bullet"/>
      <w:lvlText w:val=""/>
      <w:lvlJc w:val="left"/>
      <w:pPr>
        <w:ind w:left="360" w:hanging="360"/>
      </w:pPr>
      <w:rPr>
        <w:rFonts w:ascii="Symbol" w:hAnsi="Symbol" w:cs="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cs="Wingdings" w:hint="default"/>
      </w:rPr>
    </w:lvl>
    <w:lvl w:ilvl="3" w:tplc="04100001">
      <w:start w:val="1"/>
      <w:numFmt w:val="bullet"/>
      <w:lvlText w:val=""/>
      <w:lvlJc w:val="left"/>
      <w:pPr>
        <w:ind w:left="2520" w:hanging="360"/>
      </w:pPr>
      <w:rPr>
        <w:rFonts w:ascii="Symbol" w:hAnsi="Symbol" w:cs="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cs="Wingdings" w:hint="default"/>
      </w:rPr>
    </w:lvl>
    <w:lvl w:ilvl="6" w:tplc="04100001">
      <w:start w:val="1"/>
      <w:numFmt w:val="bullet"/>
      <w:lvlText w:val=""/>
      <w:lvlJc w:val="left"/>
      <w:pPr>
        <w:ind w:left="4680" w:hanging="360"/>
      </w:pPr>
      <w:rPr>
        <w:rFonts w:ascii="Symbol" w:hAnsi="Symbol" w:cs="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cs="Wingdings" w:hint="default"/>
      </w:rPr>
    </w:lvl>
  </w:abstractNum>
  <w:abstractNum w:abstractNumId="13">
    <w:nsid w:val="41CC7680"/>
    <w:multiLevelType w:val="hybridMultilevel"/>
    <w:tmpl w:val="B9F8E694"/>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abstractNum w:abstractNumId="14">
    <w:nsid w:val="462F2ED5"/>
    <w:multiLevelType w:val="multilevel"/>
    <w:tmpl w:val="0410001F"/>
    <w:numStyleLink w:val="Stile1"/>
  </w:abstractNum>
  <w:abstractNum w:abstractNumId="15">
    <w:nsid w:val="496E3EEB"/>
    <w:multiLevelType w:val="hybridMultilevel"/>
    <w:tmpl w:val="F412E182"/>
    <w:lvl w:ilvl="0" w:tplc="04100001">
      <w:start w:val="1"/>
      <w:numFmt w:val="bullet"/>
      <w:lvlText w:val=""/>
      <w:lvlJc w:val="left"/>
      <w:pPr>
        <w:ind w:left="1068" w:hanging="360"/>
      </w:pPr>
      <w:rPr>
        <w:rFonts w:ascii="Symbol" w:hAnsi="Symbol" w:cs="Symbol" w:hint="default"/>
      </w:rPr>
    </w:lvl>
    <w:lvl w:ilvl="1" w:tplc="04100003">
      <w:start w:val="1"/>
      <w:numFmt w:val="bullet"/>
      <w:lvlText w:val="o"/>
      <w:lvlJc w:val="left"/>
      <w:pPr>
        <w:ind w:left="1788" w:hanging="360"/>
      </w:pPr>
      <w:rPr>
        <w:rFonts w:ascii="Courier New" w:hAnsi="Courier New" w:cs="Courier New" w:hint="default"/>
      </w:rPr>
    </w:lvl>
    <w:lvl w:ilvl="2" w:tplc="04100005">
      <w:start w:val="1"/>
      <w:numFmt w:val="bullet"/>
      <w:lvlText w:val=""/>
      <w:lvlJc w:val="left"/>
      <w:pPr>
        <w:ind w:left="2508" w:hanging="360"/>
      </w:pPr>
      <w:rPr>
        <w:rFonts w:ascii="Wingdings" w:hAnsi="Wingdings" w:cs="Wingdings" w:hint="default"/>
      </w:rPr>
    </w:lvl>
    <w:lvl w:ilvl="3" w:tplc="04100001">
      <w:start w:val="1"/>
      <w:numFmt w:val="bullet"/>
      <w:lvlText w:val=""/>
      <w:lvlJc w:val="left"/>
      <w:pPr>
        <w:ind w:left="3228" w:hanging="360"/>
      </w:pPr>
      <w:rPr>
        <w:rFonts w:ascii="Symbol" w:hAnsi="Symbol" w:cs="Symbol" w:hint="default"/>
      </w:rPr>
    </w:lvl>
    <w:lvl w:ilvl="4" w:tplc="04100003">
      <w:start w:val="1"/>
      <w:numFmt w:val="bullet"/>
      <w:lvlText w:val="o"/>
      <w:lvlJc w:val="left"/>
      <w:pPr>
        <w:ind w:left="3948" w:hanging="360"/>
      </w:pPr>
      <w:rPr>
        <w:rFonts w:ascii="Courier New" w:hAnsi="Courier New" w:cs="Courier New" w:hint="default"/>
      </w:rPr>
    </w:lvl>
    <w:lvl w:ilvl="5" w:tplc="04100005">
      <w:start w:val="1"/>
      <w:numFmt w:val="bullet"/>
      <w:lvlText w:val=""/>
      <w:lvlJc w:val="left"/>
      <w:pPr>
        <w:ind w:left="4668" w:hanging="360"/>
      </w:pPr>
      <w:rPr>
        <w:rFonts w:ascii="Wingdings" w:hAnsi="Wingdings" w:cs="Wingdings" w:hint="default"/>
      </w:rPr>
    </w:lvl>
    <w:lvl w:ilvl="6" w:tplc="04100001">
      <w:start w:val="1"/>
      <w:numFmt w:val="bullet"/>
      <w:lvlText w:val=""/>
      <w:lvlJc w:val="left"/>
      <w:pPr>
        <w:ind w:left="5388" w:hanging="360"/>
      </w:pPr>
      <w:rPr>
        <w:rFonts w:ascii="Symbol" w:hAnsi="Symbol" w:cs="Symbol" w:hint="default"/>
      </w:rPr>
    </w:lvl>
    <w:lvl w:ilvl="7" w:tplc="04100003">
      <w:start w:val="1"/>
      <w:numFmt w:val="bullet"/>
      <w:lvlText w:val="o"/>
      <w:lvlJc w:val="left"/>
      <w:pPr>
        <w:ind w:left="6108" w:hanging="360"/>
      </w:pPr>
      <w:rPr>
        <w:rFonts w:ascii="Courier New" w:hAnsi="Courier New" w:cs="Courier New" w:hint="default"/>
      </w:rPr>
    </w:lvl>
    <w:lvl w:ilvl="8" w:tplc="04100005">
      <w:start w:val="1"/>
      <w:numFmt w:val="bullet"/>
      <w:lvlText w:val=""/>
      <w:lvlJc w:val="left"/>
      <w:pPr>
        <w:ind w:left="6828" w:hanging="360"/>
      </w:pPr>
      <w:rPr>
        <w:rFonts w:ascii="Wingdings" w:hAnsi="Wingdings" w:cs="Wingdings" w:hint="default"/>
      </w:rPr>
    </w:lvl>
  </w:abstractNum>
  <w:abstractNum w:abstractNumId="16">
    <w:nsid w:val="58A45C86"/>
    <w:multiLevelType w:val="hybridMultilevel"/>
    <w:tmpl w:val="B4140C9A"/>
    <w:lvl w:ilvl="0" w:tplc="04100001">
      <w:start w:val="1"/>
      <w:numFmt w:val="bullet"/>
      <w:lvlText w:val=""/>
      <w:lvlJc w:val="left"/>
      <w:pPr>
        <w:ind w:left="720" w:hanging="360"/>
      </w:pPr>
      <w:rPr>
        <w:rFonts w:ascii="Symbol" w:hAnsi="Symbol" w:cs="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17">
    <w:nsid w:val="6B637B79"/>
    <w:multiLevelType w:val="hybridMultilevel"/>
    <w:tmpl w:val="B38222FA"/>
    <w:lvl w:ilvl="0" w:tplc="04100015">
      <w:start w:val="1"/>
      <w:numFmt w:val="upperLetter"/>
      <w:lvlText w:val="%1."/>
      <w:lvlJc w:val="left"/>
      <w:pPr>
        <w:ind w:left="720" w:hanging="360"/>
      </w:pPr>
    </w:lvl>
    <w:lvl w:ilvl="1" w:tplc="3BD0EC5A">
      <w:start w:val="1"/>
      <w:numFmt w:val="upperLetter"/>
      <w:lvlText w:val="(%2)"/>
      <w:lvlJc w:val="left"/>
      <w:pPr>
        <w:ind w:left="2180" w:hanging="1100"/>
      </w:pPr>
      <w:rPr>
        <w:rFonts w:hint="default"/>
        <w:b/>
        <w:bCs/>
      </w:r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8">
    <w:nsid w:val="737A6EE1"/>
    <w:multiLevelType w:val="hybridMultilevel"/>
    <w:tmpl w:val="EE48D8DC"/>
    <w:lvl w:ilvl="0" w:tplc="48D4705C">
      <w:start w:val="1"/>
      <w:numFmt w:val="lowerLetter"/>
      <w:lvlText w:val="(%1)"/>
      <w:lvlJc w:val="left"/>
      <w:pPr>
        <w:ind w:left="1069" w:hanging="360"/>
      </w:pPr>
      <w:rPr>
        <w:rFonts w:hint="default"/>
      </w:rPr>
    </w:lvl>
    <w:lvl w:ilvl="1" w:tplc="04100019">
      <w:start w:val="1"/>
      <w:numFmt w:val="lowerLetter"/>
      <w:lvlText w:val="%2."/>
      <w:lvlJc w:val="left"/>
      <w:pPr>
        <w:ind w:left="1789" w:hanging="360"/>
      </w:pPr>
    </w:lvl>
    <w:lvl w:ilvl="2" w:tplc="0410001B">
      <w:start w:val="1"/>
      <w:numFmt w:val="lowerRoman"/>
      <w:lvlText w:val="%3."/>
      <w:lvlJc w:val="right"/>
      <w:pPr>
        <w:ind w:left="2509" w:hanging="180"/>
      </w:pPr>
    </w:lvl>
    <w:lvl w:ilvl="3" w:tplc="0410000F">
      <w:start w:val="1"/>
      <w:numFmt w:val="decimal"/>
      <w:lvlText w:val="%4."/>
      <w:lvlJc w:val="left"/>
      <w:pPr>
        <w:ind w:left="3229" w:hanging="360"/>
      </w:pPr>
    </w:lvl>
    <w:lvl w:ilvl="4" w:tplc="04100019">
      <w:start w:val="1"/>
      <w:numFmt w:val="lowerLetter"/>
      <w:lvlText w:val="%5."/>
      <w:lvlJc w:val="left"/>
      <w:pPr>
        <w:ind w:left="3949" w:hanging="360"/>
      </w:pPr>
    </w:lvl>
    <w:lvl w:ilvl="5" w:tplc="0410001B">
      <w:start w:val="1"/>
      <w:numFmt w:val="lowerRoman"/>
      <w:lvlText w:val="%6."/>
      <w:lvlJc w:val="right"/>
      <w:pPr>
        <w:ind w:left="4669" w:hanging="180"/>
      </w:pPr>
    </w:lvl>
    <w:lvl w:ilvl="6" w:tplc="0410000F">
      <w:start w:val="1"/>
      <w:numFmt w:val="decimal"/>
      <w:lvlText w:val="%7."/>
      <w:lvlJc w:val="left"/>
      <w:pPr>
        <w:ind w:left="5389" w:hanging="360"/>
      </w:pPr>
    </w:lvl>
    <w:lvl w:ilvl="7" w:tplc="04100019">
      <w:start w:val="1"/>
      <w:numFmt w:val="lowerLetter"/>
      <w:lvlText w:val="%8."/>
      <w:lvlJc w:val="left"/>
      <w:pPr>
        <w:ind w:left="6109" w:hanging="360"/>
      </w:pPr>
    </w:lvl>
    <w:lvl w:ilvl="8" w:tplc="0410001B">
      <w:start w:val="1"/>
      <w:numFmt w:val="lowerRoman"/>
      <w:lvlText w:val="%9."/>
      <w:lvlJc w:val="right"/>
      <w:pPr>
        <w:ind w:left="6829" w:hanging="180"/>
      </w:pPr>
    </w:lvl>
  </w:abstractNum>
  <w:abstractNum w:abstractNumId="19">
    <w:nsid w:val="77A079DB"/>
    <w:multiLevelType w:val="hybridMultilevel"/>
    <w:tmpl w:val="1226A8F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nsid w:val="77B70A3D"/>
    <w:multiLevelType w:val="hybridMultilevel"/>
    <w:tmpl w:val="0CDEE766"/>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1">
    <w:nsid w:val="786C1512"/>
    <w:multiLevelType w:val="multilevel"/>
    <w:tmpl w:val="04100021"/>
    <w:lvl w:ilvl="0">
      <w:start w:val="1"/>
      <w:numFmt w:val="bullet"/>
      <w:lvlText w:val=""/>
      <w:lvlJc w:val="left"/>
      <w:pPr>
        <w:ind w:left="360" w:hanging="360"/>
      </w:pPr>
      <w:rPr>
        <w:rFonts w:ascii="Wingdings" w:hAnsi="Wingdings" w:cs="Wingdings" w:hint="default"/>
      </w:rPr>
    </w:lvl>
    <w:lvl w:ilvl="1">
      <w:start w:val="1"/>
      <w:numFmt w:val="bullet"/>
      <w:lvlText w:val=""/>
      <w:lvlJc w:val="left"/>
      <w:pPr>
        <w:ind w:left="720" w:hanging="360"/>
      </w:pPr>
      <w:rPr>
        <w:rFonts w:ascii="Wingdings" w:hAnsi="Wingdings" w:cs="Wingdings" w:hint="default"/>
      </w:rPr>
    </w:lvl>
    <w:lvl w:ilvl="2">
      <w:start w:val="1"/>
      <w:numFmt w:val="bullet"/>
      <w:lvlText w:val=""/>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cs="Symbol" w:hint="default"/>
      </w:rPr>
    </w:lvl>
    <w:lvl w:ilvl="4">
      <w:start w:val="1"/>
      <w:numFmt w:val="bullet"/>
      <w:lvlText w:val=""/>
      <w:lvlJc w:val="left"/>
      <w:pPr>
        <w:ind w:left="1800" w:hanging="360"/>
      </w:pPr>
      <w:rPr>
        <w:rFonts w:ascii="Symbol" w:hAnsi="Symbol" w:cs="Symbol" w:hint="default"/>
      </w:rPr>
    </w:lvl>
    <w:lvl w:ilvl="5">
      <w:start w:val="1"/>
      <w:numFmt w:val="bullet"/>
      <w:lvlText w:val=""/>
      <w:lvlJc w:val="left"/>
      <w:pPr>
        <w:ind w:left="2160" w:hanging="360"/>
      </w:pPr>
      <w:rPr>
        <w:rFonts w:ascii="Wingdings" w:hAnsi="Wingdings" w:cs="Wingdings" w:hint="default"/>
      </w:rPr>
    </w:lvl>
    <w:lvl w:ilvl="6">
      <w:start w:val="1"/>
      <w:numFmt w:val="bullet"/>
      <w:lvlText w:val=""/>
      <w:lvlJc w:val="left"/>
      <w:pPr>
        <w:ind w:left="2520" w:hanging="360"/>
      </w:pPr>
      <w:rPr>
        <w:rFonts w:ascii="Wingdings" w:hAnsi="Wingdings" w:cs="Wingdings" w:hint="default"/>
      </w:rPr>
    </w:lvl>
    <w:lvl w:ilvl="7">
      <w:start w:val="1"/>
      <w:numFmt w:val="bullet"/>
      <w:lvlText w:val=""/>
      <w:lvlJc w:val="left"/>
      <w:pPr>
        <w:ind w:left="2880" w:hanging="360"/>
      </w:pPr>
      <w:rPr>
        <w:rFonts w:ascii="Symbol" w:hAnsi="Symbol" w:cs="Symbol" w:hint="default"/>
      </w:rPr>
    </w:lvl>
    <w:lvl w:ilvl="8">
      <w:start w:val="1"/>
      <w:numFmt w:val="bullet"/>
      <w:lvlText w:val=""/>
      <w:lvlJc w:val="left"/>
      <w:pPr>
        <w:ind w:left="3240" w:hanging="360"/>
      </w:pPr>
      <w:rPr>
        <w:rFonts w:ascii="Symbol" w:hAnsi="Symbol" w:cs="Symbol" w:hint="default"/>
      </w:rPr>
    </w:lvl>
  </w:abstractNum>
  <w:abstractNum w:abstractNumId="22">
    <w:nsid w:val="79F45781"/>
    <w:multiLevelType w:val="hybridMultilevel"/>
    <w:tmpl w:val="4EA6C60E"/>
    <w:lvl w:ilvl="0" w:tplc="04100001">
      <w:start w:val="1"/>
      <w:numFmt w:val="bullet"/>
      <w:lvlText w:val=""/>
      <w:lvlJc w:val="left"/>
      <w:pPr>
        <w:ind w:left="1069" w:hanging="360"/>
      </w:pPr>
      <w:rPr>
        <w:rFonts w:ascii="Symbol" w:hAnsi="Symbol" w:cs="Symbol" w:hint="default"/>
      </w:rPr>
    </w:lvl>
    <w:lvl w:ilvl="1" w:tplc="04100003">
      <w:start w:val="1"/>
      <w:numFmt w:val="bullet"/>
      <w:lvlText w:val="o"/>
      <w:lvlJc w:val="left"/>
      <w:pPr>
        <w:ind w:left="1789" w:hanging="360"/>
      </w:pPr>
      <w:rPr>
        <w:rFonts w:ascii="Courier New" w:hAnsi="Courier New" w:cs="Courier New" w:hint="default"/>
      </w:rPr>
    </w:lvl>
    <w:lvl w:ilvl="2" w:tplc="04100005">
      <w:start w:val="1"/>
      <w:numFmt w:val="bullet"/>
      <w:lvlText w:val=""/>
      <w:lvlJc w:val="left"/>
      <w:pPr>
        <w:ind w:left="2509" w:hanging="360"/>
      </w:pPr>
      <w:rPr>
        <w:rFonts w:ascii="Wingdings" w:hAnsi="Wingdings" w:cs="Wingdings" w:hint="default"/>
      </w:rPr>
    </w:lvl>
    <w:lvl w:ilvl="3" w:tplc="04100001">
      <w:start w:val="1"/>
      <w:numFmt w:val="bullet"/>
      <w:lvlText w:val=""/>
      <w:lvlJc w:val="left"/>
      <w:pPr>
        <w:ind w:left="3229" w:hanging="360"/>
      </w:pPr>
      <w:rPr>
        <w:rFonts w:ascii="Symbol" w:hAnsi="Symbol" w:cs="Symbol" w:hint="default"/>
      </w:rPr>
    </w:lvl>
    <w:lvl w:ilvl="4" w:tplc="04100003">
      <w:start w:val="1"/>
      <w:numFmt w:val="bullet"/>
      <w:lvlText w:val="o"/>
      <w:lvlJc w:val="left"/>
      <w:pPr>
        <w:ind w:left="3949" w:hanging="360"/>
      </w:pPr>
      <w:rPr>
        <w:rFonts w:ascii="Courier New" w:hAnsi="Courier New" w:cs="Courier New" w:hint="default"/>
      </w:rPr>
    </w:lvl>
    <w:lvl w:ilvl="5" w:tplc="04100005">
      <w:start w:val="1"/>
      <w:numFmt w:val="bullet"/>
      <w:lvlText w:val=""/>
      <w:lvlJc w:val="left"/>
      <w:pPr>
        <w:ind w:left="4669" w:hanging="360"/>
      </w:pPr>
      <w:rPr>
        <w:rFonts w:ascii="Wingdings" w:hAnsi="Wingdings" w:cs="Wingdings" w:hint="default"/>
      </w:rPr>
    </w:lvl>
    <w:lvl w:ilvl="6" w:tplc="04100001">
      <w:start w:val="1"/>
      <w:numFmt w:val="bullet"/>
      <w:lvlText w:val=""/>
      <w:lvlJc w:val="left"/>
      <w:pPr>
        <w:ind w:left="5389" w:hanging="360"/>
      </w:pPr>
      <w:rPr>
        <w:rFonts w:ascii="Symbol" w:hAnsi="Symbol" w:cs="Symbol" w:hint="default"/>
      </w:rPr>
    </w:lvl>
    <w:lvl w:ilvl="7" w:tplc="04100003">
      <w:start w:val="1"/>
      <w:numFmt w:val="bullet"/>
      <w:lvlText w:val="o"/>
      <w:lvlJc w:val="left"/>
      <w:pPr>
        <w:ind w:left="6109" w:hanging="360"/>
      </w:pPr>
      <w:rPr>
        <w:rFonts w:ascii="Courier New" w:hAnsi="Courier New" w:cs="Courier New" w:hint="default"/>
      </w:rPr>
    </w:lvl>
    <w:lvl w:ilvl="8" w:tplc="04100005">
      <w:start w:val="1"/>
      <w:numFmt w:val="bullet"/>
      <w:lvlText w:val=""/>
      <w:lvlJc w:val="left"/>
      <w:pPr>
        <w:ind w:left="6829" w:hanging="360"/>
      </w:pPr>
      <w:rPr>
        <w:rFonts w:ascii="Wingdings" w:hAnsi="Wingdings" w:cs="Wingdings" w:hint="default"/>
      </w:rPr>
    </w:lvl>
  </w:abstractNum>
  <w:num w:numId="1">
    <w:abstractNumId w:val="0"/>
  </w:num>
  <w:num w:numId="2">
    <w:abstractNumId w:val="16"/>
  </w:num>
  <w:num w:numId="3">
    <w:abstractNumId w:val="14"/>
  </w:num>
  <w:num w:numId="4">
    <w:abstractNumId w:val="1"/>
  </w:num>
  <w:num w:numId="5">
    <w:abstractNumId w:val="11"/>
  </w:num>
  <w:num w:numId="6">
    <w:abstractNumId w:val="21"/>
  </w:num>
  <w:num w:numId="7">
    <w:abstractNumId w:val="15"/>
  </w:num>
  <w:num w:numId="8">
    <w:abstractNumId w:val="19"/>
  </w:num>
  <w:num w:numId="9">
    <w:abstractNumId w:val="6"/>
  </w:num>
  <w:num w:numId="10">
    <w:abstractNumId w:val="3"/>
  </w:num>
  <w:num w:numId="11">
    <w:abstractNumId w:val="13"/>
  </w:num>
  <w:num w:numId="12">
    <w:abstractNumId w:val="8"/>
  </w:num>
  <w:num w:numId="13">
    <w:abstractNumId w:val="2"/>
  </w:num>
  <w:num w:numId="14">
    <w:abstractNumId w:val="17"/>
  </w:num>
  <w:num w:numId="15">
    <w:abstractNumId w:val="18"/>
  </w:num>
  <w:num w:numId="16">
    <w:abstractNumId w:val="7"/>
  </w:num>
  <w:num w:numId="17">
    <w:abstractNumId w:val="12"/>
  </w:num>
  <w:num w:numId="18">
    <w:abstractNumId w:val="9"/>
  </w:num>
  <w:num w:numId="19">
    <w:abstractNumId w:val="10"/>
  </w:num>
  <w:num w:numId="20">
    <w:abstractNumId w:val="22"/>
  </w:num>
  <w:num w:numId="21">
    <w:abstractNumId w:val="4"/>
  </w:num>
  <w:num w:numId="22">
    <w:abstractNumId w:val="20"/>
  </w:num>
  <w:num w:numId="2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embedSystemFonts/>
  <w:defaultTabStop w:val="708"/>
  <w:hyphenationZone w:val="283"/>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LW_DocType" w:val="NORMAL"/>
  </w:docVars>
  <w:rsids>
    <w:rsidRoot w:val="00EA4035"/>
    <w:rsid w:val="0000059C"/>
    <w:rsid w:val="000020DC"/>
    <w:rsid w:val="0000437B"/>
    <w:rsid w:val="0000520E"/>
    <w:rsid w:val="00005B12"/>
    <w:rsid w:val="00005FC9"/>
    <w:rsid w:val="0001063E"/>
    <w:rsid w:val="00011280"/>
    <w:rsid w:val="00014DA9"/>
    <w:rsid w:val="00015263"/>
    <w:rsid w:val="000152BE"/>
    <w:rsid w:val="00023D7B"/>
    <w:rsid w:val="00024116"/>
    <w:rsid w:val="00031F0A"/>
    <w:rsid w:val="00033B89"/>
    <w:rsid w:val="0003466B"/>
    <w:rsid w:val="0003630A"/>
    <w:rsid w:val="0003754F"/>
    <w:rsid w:val="00041D83"/>
    <w:rsid w:val="000429D5"/>
    <w:rsid w:val="000431A9"/>
    <w:rsid w:val="00044138"/>
    <w:rsid w:val="00045209"/>
    <w:rsid w:val="00045A1C"/>
    <w:rsid w:val="00045F16"/>
    <w:rsid w:val="00047217"/>
    <w:rsid w:val="000541E0"/>
    <w:rsid w:val="000568E8"/>
    <w:rsid w:val="00056FB4"/>
    <w:rsid w:val="0005786E"/>
    <w:rsid w:val="00057A46"/>
    <w:rsid w:val="0006042E"/>
    <w:rsid w:val="00061B79"/>
    <w:rsid w:val="000638D8"/>
    <w:rsid w:val="0006397C"/>
    <w:rsid w:val="00067CF8"/>
    <w:rsid w:val="00071AEA"/>
    <w:rsid w:val="00073302"/>
    <w:rsid w:val="000748BD"/>
    <w:rsid w:val="000758E8"/>
    <w:rsid w:val="00084189"/>
    <w:rsid w:val="00085989"/>
    <w:rsid w:val="00086536"/>
    <w:rsid w:val="0009129D"/>
    <w:rsid w:val="00091688"/>
    <w:rsid w:val="000924C9"/>
    <w:rsid w:val="0009317B"/>
    <w:rsid w:val="00095853"/>
    <w:rsid w:val="000960D7"/>
    <w:rsid w:val="000968CC"/>
    <w:rsid w:val="0009736B"/>
    <w:rsid w:val="000B087C"/>
    <w:rsid w:val="000B0A21"/>
    <w:rsid w:val="000B0C1D"/>
    <w:rsid w:val="000B149C"/>
    <w:rsid w:val="000B44FE"/>
    <w:rsid w:val="000B515D"/>
    <w:rsid w:val="000C2A90"/>
    <w:rsid w:val="000C5E0D"/>
    <w:rsid w:val="000D4F3F"/>
    <w:rsid w:val="000D5F56"/>
    <w:rsid w:val="000D67B6"/>
    <w:rsid w:val="000D7C1C"/>
    <w:rsid w:val="000E0524"/>
    <w:rsid w:val="000E2986"/>
    <w:rsid w:val="000E7FA7"/>
    <w:rsid w:val="000F4A8D"/>
    <w:rsid w:val="000F500C"/>
    <w:rsid w:val="000F7377"/>
    <w:rsid w:val="00103D07"/>
    <w:rsid w:val="0010620F"/>
    <w:rsid w:val="001131C2"/>
    <w:rsid w:val="001144D7"/>
    <w:rsid w:val="00115053"/>
    <w:rsid w:val="00120B99"/>
    <w:rsid w:val="00122E14"/>
    <w:rsid w:val="00123124"/>
    <w:rsid w:val="0012388D"/>
    <w:rsid w:val="00123BEB"/>
    <w:rsid w:val="00125642"/>
    <w:rsid w:val="001268AB"/>
    <w:rsid w:val="001269AC"/>
    <w:rsid w:val="00126B4D"/>
    <w:rsid w:val="0012710B"/>
    <w:rsid w:val="001278BE"/>
    <w:rsid w:val="00132CF3"/>
    <w:rsid w:val="00133A45"/>
    <w:rsid w:val="00134344"/>
    <w:rsid w:val="001372D3"/>
    <w:rsid w:val="001376D3"/>
    <w:rsid w:val="00143629"/>
    <w:rsid w:val="0014633B"/>
    <w:rsid w:val="001467EE"/>
    <w:rsid w:val="00147B1A"/>
    <w:rsid w:val="001510A4"/>
    <w:rsid w:val="001531C0"/>
    <w:rsid w:val="00153AEA"/>
    <w:rsid w:val="00154C88"/>
    <w:rsid w:val="00154E96"/>
    <w:rsid w:val="00156A00"/>
    <w:rsid w:val="001671F8"/>
    <w:rsid w:val="00172BAA"/>
    <w:rsid w:val="00174234"/>
    <w:rsid w:val="001768C2"/>
    <w:rsid w:val="00176994"/>
    <w:rsid w:val="00176CD7"/>
    <w:rsid w:val="001772FF"/>
    <w:rsid w:val="001776F1"/>
    <w:rsid w:val="00180197"/>
    <w:rsid w:val="001801A2"/>
    <w:rsid w:val="00181AF5"/>
    <w:rsid w:val="00183F23"/>
    <w:rsid w:val="00184A37"/>
    <w:rsid w:val="00192F88"/>
    <w:rsid w:val="0019475E"/>
    <w:rsid w:val="001A0108"/>
    <w:rsid w:val="001A14CE"/>
    <w:rsid w:val="001A1C9E"/>
    <w:rsid w:val="001A2D79"/>
    <w:rsid w:val="001A5741"/>
    <w:rsid w:val="001A6257"/>
    <w:rsid w:val="001B027C"/>
    <w:rsid w:val="001B1377"/>
    <w:rsid w:val="001B2761"/>
    <w:rsid w:val="001B345B"/>
    <w:rsid w:val="001B3785"/>
    <w:rsid w:val="001B40A0"/>
    <w:rsid w:val="001B4116"/>
    <w:rsid w:val="001B6FBA"/>
    <w:rsid w:val="001B72D1"/>
    <w:rsid w:val="001B72ED"/>
    <w:rsid w:val="001C3ED5"/>
    <w:rsid w:val="001C48EE"/>
    <w:rsid w:val="001C4A32"/>
    <w:rsid w:val="001C5394"/>
    <w:rsid w:val="001C5B87"/>
    <w:rsid w:val="001C6387"/>
    <w:rsid w:val="001C7B65"/>
    <w:rsid w:val="001C7E2A"/>
    <w:rsid w:val="001D0B56"/>
    <w:rsid w:val="001D332E"/>
    <w:rsid w:val="001D3D83"/>
    <w:rsid w:val="001D5E7B"/>
    <w:rsid w:val="001E058E"/>
    <w:rsid w:val="001E1EB4"/>
    <w:rsid w:val="001E5DAA"/>
    <w:rsid w:val="001F1B9B"/>
    <w:rsid w:val="001F4160"/>
    <w:rsid w:val="001F63A8"/>
    <w:rsid w:val="001F6438"/>
    <w:rsid w:val="0020195C"/>
    <w:rsid w:val="0020396A"/>
    <w:rsid w:val="002066DF"/>
    <w:rsid w:val="00206F9D"/>
    <w:rsid w:val="00210532"/>
    <w:rsid w:val="002120F2"/>
    <w:rsid w:val="00212230"/>
    <w:rsid w:val="002126DB"/>
    <w:rsid w:val="0021336D"/>
    <w:rsid w:val="00216D7A"/>
    <w:rsid w:val="002176DA"/>
    <w:rsid w:val="00225BE0"/>
    <w:rsid w:val="00230936"/>
    <w:rsid w:val="002324F7"/>
    <w:rsid w:val="00232C9A"/>
    <w:rsid w:val="00233C16"/>
    <w:rsid w:val="00236B2D"/>
    <w:rsid w:val="00236D76"/>
    <w:rsid w:val="002415A1"/>
    <w:rsid w:val="002465FE"/>
    <w:rsid w:val="00251544"/>
    <w:rsid w:val="00252479"/>
    <w:rsid w:val="00252E77"/>
    <w:rsid w:val="00255A9B"/>
    <w:rsid w:val="00255D53"/>
    <w:rsid w:val="002572E6"/>
    <w:rsid w:val="00257FA4"/>
    <w:rsid w:val="00260C1B"/>
    <w:rsid w:val="002620B3"/>
    <w:rsid w:val="00263090"/>
    <w:rsid w:val="00263B43"/>
    <w:rsid w:val="00264E95"/>
    <w:rsid w:val="00267CAC"/>
    <w:rsid w:val="00271991"/>
    <w:rsid w:val="00274574"/>
    <w:rsid w:val="002747A0"/>
    <w:rsid w:val="00276C31"/>
    <w:rsid w:val="00277E6C"/>
    <w:rsid w:val="00280184"/>
    <w:rsid w:val="002804E2"/>
    <w:rsid w:val="00281C22"/>
    <w:rsid w:val="0028297F"/>
    <w:rsid w:val="002847CD"/>
    <w:rsid w:val="002858B5"/>
    <w:rsid w:val="00286F38"/>
    <w:rsid w:val="002870D4"/>
    <w:rsid w:val="00290E49"/>
    <w:rsid w:val="00294032"/>
    <w:rsid w:val="00296752"/>
    <w:rsid w:val="002968CD"/>
    <w:rsid w:val="0029692C"/>
    <w:rsid w:val="00296F7C"/>
    <w:rsid w:val="002A6394"/>
    <w:rsid w:val="002B6249"/>
    <w:rsid w:val="002C00F9"/>
    <w:rsid w:val="002C4394"/>
    <w:rsid w:val="002C4703"/>
    <w:rsid w:val="002C4A7F"/>
    <w:rsid w:val="002C4CA8"/>
    <w:rsid w:val="002C5896"/>
    <w:rsid w:val="002C6A3D"/>
    <w:rsid w:val="002C6EBC"/>
    <w:rsid w:val="002D03AD"/>
    <w:rsid w:val="002D0D88"/>
    <w:rsid w:val="002D17F4"/>
    <w:rsid w:val="002D2D7B"/>
    <w:rsid w:val="002D3F34"/>
    <w:rsid w:val="002D4B6E"/>
    <w:rsid w:val="002D4F66"/>
    <w:rsid w:val="002E0717"/>
    <w:rsid w:val="002E179A"/>
    <w:rsid w:val="002E2370"/>
    <w:rsid w:val="002E3121"/>
    <w:rsid w:val="002E3BC5"/>
    <w:rsid w:val="002E7E46"/>
    <w:rsid w:val="002F065E"/>
    <w:rsid w:val="002F075D"/>
    <w:rsid w:val="002F2B85"/>
    <w:rsid w:val="002F3F9E"/>
    <w:rsid w:val="002F5954"/>
    <w:rsid w:val="002F5B95"/>
    <w:rsid w:val="002F7C28"/>
    <w:rsid w:val="00300A88"/>
    <w:rsid w:val="003018DF"/>
    <w:rsid w:val="00302F59"/>
    <w:rsid w:val="00302FDC"/>
    <w:rsid w:val="003078F3"/>
    <w:rsid w:val="0031068B"/>
    <w:rsid w:val="003121E1"/>
    <w:rsid w:val="00312B82"/>
    <w:rsid w:val="00312DF0"/>
    <w:rsid w:val="00313A69"/>
    <w:rsid w:val="00313B69"/>
    <w:rsid w:val="00314027"/>
    <w:rsid w:val="00314DE4"/>
    <w:rsid w:val="003209E7"/>
    <w:rsid w:val="00323363"/>
    <w:rsid w:val="00324A20"/>
    <w:rsid w:val="00325D3F"/>
    <w:rsid w:val="0032700A"/>
    <w:rsid w:val="00327DF6"/>
    <w:rsid w:val="00332813"/>
    <w:rsid w:val="003376C8"/>
    <w:rsid w:val="0034010E"/>
    <w:rsid w:val="003404DE"/>
    <w:rsid w:val="00340C7B"/>
    <w:rsid w:val="00343366"/>
    <w:rsid w:val="0034748B"/>
    <w:rsid w:val="003504A2"/>
    <w:rsid w:val="00350659"/>
    <w:rsid w:val="00350F7F"/>
    <w:rsid w:val="00353130"/>
    <w:rsid w:val="003567B7"/>
    <w:rsid w:val="003607C6"/>
    <w:rsid w:val="00360CA0"/>
    <w:rsid w:val="00362C18"/>
    <w:rsid w:val="003631C1"/>
    <w:rsid w:val="0036632F"/>
    <w:rsid w:val="00366F5B"/>
    <w:rsid w:val="0037103C"/>
    <w:rsid w:val="00373B95"/>
    <w:rsid w:val="00374835"/>
    <w:rsid w:val="0037692D"/>
    <w:rsid w:val="00377E9F"/>
    <w:rsid w:val="0038124B"/>
    <w:rsid w:val="003824EB"/>
    <w:rsid w:val="003829BE"/>
    <w:rsid w:val="003908F8"/>
    <w:rsid w:val="00393180"/>
    <w:rsid w:val="003936CA"/>
    <w:rsid w:val="0039385B"/>
    <w:rsid w:val="003938DA"/>
    <w:rsid w:val="00397816"/>
    <w:rsid w:val="003A1666"/>
    <w:rsid w:val="003A6625"/>
    <w:rsid w:val="003B15B5"/>
    <w:rsid w:val="003B3951"/>
    <w:rsid w:val="003B3C76"/>
    <w:rsid w:val="003B43DA"/>
    <w:rsid w:val="003B57A9"/>
    <w:rsid w:val="003C2FF1"/>
    <w:rsid w:val="003C3E17"/>
    <w:rsid w:val="003C4067"/>
    <w:rsid w:val="003C552E"/>
    <w:rsid w:val="003C7478"/>
    <w:rsid w:val="003D269C"/>
    <w:rsid w:val="003D43C4"/>
    <w:rsid w:val="003D679C"/>
    <w:rsid w:val="003E3273"/>
    <w:rsid w:val="003E3C92"/>
    <w:rsid w:val="003E4FF4"/>
    <w:rsid w:val="003E59B8"/>
    <w:rsid w:val="003F08DF"/>
    <w:rsid w:val="003F27E7"/>
    <w:rsid w:val="003F4EB2"/>
    <w:rsid w:val="003F64B2"/>
    <w:rsid w:val="003F770E"/>
    <w:rsid w:val="004004EE"/>
    <w:rsid w:val="00401C3B"/>
    <w:rsid w:val="004030D9"/>
    <w:rsid w:val="00405540"/>
    <w:rsid w:val="00411109"/>
    <w:rsid w:val="0041119D"/>
    <w:rsid w:val="00413882"/>
    <w:rsid w:val="00414712"/>
    <w:rsid w:val="004173B0"/>
    <w:rsid w:val="0041746F"/>
    <w:rsid w:val="00420013"/>
    <w:rsid w:val="00420CF7"/>
    <w:rsid w:val="004216A1"/>
    <w:rsid w:val="0042194D"/>
    <w:rsid w:val="00423285"/>
    <w:rsid w:val="00424CFA"/>
    <w:rsid w:val="0043132C"/>
    <w:rsid w:val="00431796"/>
    <w:rsid w:val="00431D21"/>
    <w:rsid w:val="004349C9"/>
    <w:rsid w:val="00436600"/>
    <w:rsid w:val="00436ADF"/>
    <w:rsid w:val="004405F4"/>
    <w:rsid w:val="00447D80"/>
    <w:rsid w:val="00450288"/>
    <w:rsid w:val="00453149"/>
    <w:rsid w:val="00453349"/>
    <w:rsid w:val="004534A3"/>
    <w:rsid w:val="00453D8A"/>
    <w:rsid w:val="004552F2"/>
    <w:rsid w:val="004578F0"/>
    <w:rsid w:val="00460714"/>
    <w:rsid w:val="004608CE"/>
    <w:rsid w:val="00460917"/>
    <w:rsid w:val="0046124C"/>
    <w:rsid w:val="00464586"/>
    <w:rsid w:val="00464679"/>
    <w:rsid w:val="00467753"/>
    <w:rsid w:val="00470421"/>
    <w:rsid w:val="00475D1E"/>
    <w:rsid w:val="00480FC6"/>
    <w:rsid w:val="00482B59"/>
    <w:rsid w:val="00492F9A"/>
    <w:rsid w:val="00494BB5"/>
    <w:rsid w:val="004957EE"/>
    <w:rsid w:val="00496697"/>
    <w:rsid w:val="004A60BD"/>
    <w:rsid w:val="004A7FD0"/>
    <w:rsid w:val="004B0D43"/>
    <w:rsid w:val="004B4660"/>
    <w:rsid w:val="004B491B"/>
    <w:rsid w:val="004B4A23"/>
    <w:rsid w:val="004B5557"/>
    <w:rsid w:val="004B5791"/>
    <w:rsid w:val="004C02FA"/>
    <w:rsid w:val="004C0F4C"/>
    <w:rsid w:val="004C20E9"/>
    <w:rsid w:val="004C2653"/>
    <w:rsid w:val="004C35ED"/>
    <w:rsid w:val="004C4239"/>
    <w:rsid w:val="004C6427"/>
    <w:rsid w:val="004C739E"/>
    <w:rsid w:val="004C7E1E"/>
    <w:rsid w:val="004D0F94"/>
    <w:rsid w:val="004D5C6A"/>
    <w:rsid w:val="004D7987"/>
    <w:rsid w:val="004E0B15"/>
    <w:rsid w:val="004E1EE3"/>
    <w:rsid w:val="004E25AA"/>
    <w:rsid w:val="004E37DF"/>
    <w:rsid w:val="004E39CB"/>
    <w:rsid w:val="004E4CFF"/>
    <w:rsid w:val="004E5F31"/>
    <w:rsid w:val="004F0162"/>
    <w:rsid w:val="004F6DE7"/>
    <w:rsid w:val="00504EA6"/>
    <w:rsid w:val="00510843"/>
    <w:rsid w:val="00510FC5"/>
    <w:rsid w:val="0051310B"/>
    <w:rsid w:val="00514B6D"/>
    <w:rsid w:val="00517A30"/>
    <w:rsid w:val="00520043"/>
    <w:rsid w:val="005312E4"/>
    <w:rsid w:val="00532374"/>
    <w:rsid w:val="00533569"/>
    <w:rsid w:val="005345EA"/>
    <w:rsid w:val="0053601D"/>
    <w:rsid w:val="005413BB"/>
    <w:rsid w:val="005436D0"/>
    <w:rsid w:val="005443A9"/>
    <w:rsid w:val="00545E9E"/>
    <w:rsid w:val="005537A0"/>
    <w:rsid w:val="00555CDC"/>
    <w:rsid w:val="005579A0"/>
    <w:rsid w:val="00557B7D"/>
    <w:rsid w:val="00561A33"/>
    <w:rsid w:val="00562D98"/>
    <w:rsid w:val="005637EB"/>
    <w:rsid w:val="00563ABB"/>
    <w:rsid w:val="00563D47"/>
    <w:rsid w:val="00565708"/>
    <w:rsid w:val="0056652F"/>
    <w:rsid w:val="00571F85"/>
    <w:rsid w:val="00573212"/>
    <w:rsid w:val="00573B5E"/>
    <w:rsid w:val="00574DA7"/>
    <w:rsid w:val="005768B9"/>
    <w:rsid w:val="00577D51"/>
    <w:rsid w:val="0058015A"/>
    <w:rsid w:val="00582329"/>
    <w:rsid w:val="00583BC9"/>
    <w:rsid w:val="005845B6"/>
    <w:rsid w:val="00584D1D"/>
    <w:rsid w:val="005858C3"/>
    <w:rsid w:val="00585B25"/>
    <w:rsid w:val="00585BA8"/>
    <w:rsid w:val="00594871"/>
    <w:rsid w:val="00595AD8"/>
    <w:rsid w:val="005A103F"/>
    <w:rsid w:val="005A3585"/>
    <w:rsid w:val="005A463C"/>
    <w:rsid w:val="005A63FD"/>
    <w:rsid w:val="005A78BE"/>
    <w:rsid w:val="005B1264"/>
    <w:rsid w:val="005B333E"/>
    <w:rsid w:val="005B3E25"/>
    <w:rsid w:val="005B3FC1"/>
    <w:rsid w:val="005B4ECB"/>
    <w:rsid w:val="005C0886"/>
    <w:rsid w:val="005C3FC9"/>
    <w:rsid w:val="005C57A2"/>
    <w:rsid w:val="005C6C84"/>
    <w:rsid w:val="005D5F09"/>
    <w:rsid w:val="005D734C"/>
    <w:rsid w:val="005E09AD"/>
    <w:rsid w:val="005E0B33"/>
    <w:rsid w:val="005E17B4"/>
    <w:rsid w:val="005E1CD9"/>
    <w:rsid w:val="005E2035"/>
    <w:rsid w:val="005E230E"/>
    <w:rsid w:val="005E2EC3"/>
    <w:rsid w:val="005E36F5"/>
    <w:rsid w:val="005E40E8"/>
    <w:rsid w:val="005E5370"/>
    <w:rsid w:val="005E5E96"/>
    <w:rsid w:val="005E68FE"/>
    <w:rsid w:val="005F0BD0"/>
    <w:rsid w:val="00601A52"/>
    <w:rsid w:val="006033BD"/>
    <w:rsid w:val="006037E7"/>
    <w:rsid w:val="006044F9"/>
    <w:rsid w:val="006117DD"/>
    <w:rsid w:val="0061322E"/>
    <w:rsid w:val="00617FC7"/>
    <w:rsid w:val="0062078E"/>
    <w:rsid w:val="00624C24"/>
    <w:rsid w:val="0063096F"/>
    <w:rsid w:val="00633BEC"/>
    <w:rsid w:val="00636C04"/>
    <w:rsid w:val="0063706E"/>
    <w:rsid w:val="00640B57"/>
    <w:rsid w:val="0064295A"/>
    <w:rsid w:val="006463D6"/>
    <w:rsid w:val="00650A70"/>
    <w:rsid w:val="00653976"/>
    <w:rsid w:val="0065520C"/>
    <w:rsid w:val="00656B1F"/>
    <w:rsid w:val="006630C4"/>
    <w:rsid w:val="00663E21"/>
    <w:rsid w:val="006679D9"/>
    <w:rsid w:val="00673D1C"/>
    <w:rsid w:val="00673D78"/>
    <w:rsid w:val="00673DEA"/>
    <w:rsid w:val="00674941"/>
    <w:rsid w:val="00675081"/>
    <w:rsid w:val="00675BD8"/>
    <w:rsid w:val="00681335"/>
    <w:rsid w:val="00683212"/>
    <w:rsid w:val="00683529"/>
    <w:rsid w:val="00683623"/>
    <w:rsid w:val="00683A59"/>
    <w:rsid w:val="006861BD"/>
    <w:rsid w:val="006863CA"/>
    <w:rsid w:val="00686E86"/>
    <w:rsid w:val="0068701D"/>
    <w:rsid w:val="006917BF"/>
    <w:rsid w:val="00691C81"/>
    <w:rsid w:val="00691E94"/>
    <w:rsid w:val="00694F25"/>
    <w:rsid w:val="00696651"/>
    <w:rsid w:val="00696F58"/>
    <w:rsid w:val="006A007A"/>
    <w:rsid w:val="006A0F6F"/>
    <w:rsid w:val="006A2DC1"/>
    <w:rsid w:val="006A5650"/>
    <w:rsid w:val="006A6418"/>
    <w:rsid w:val="006B1008"/>
    <w:rsid w:val="006B3C0A"/>
    <w:rsid w:val="006B5911"/>
    <w:rsid w:val="006B6669"/>
    <w:rsid w:val="006B712F"/>
    <w:rsid w:val="006B76D5"/>
    <w:rsid w:val="006C0861"/>
    <w:rsid w:val="006C1BBE"/>
    <w:rsid w:val="006C1CC2"/>
    <w:rsid w:val="006C657D"/>
    <w:rsid w:val="006C7990"/>
    <w:rsid w:val="006D1037"/>
    <w:rsid w:val="006D14F2"/>
    <w:rsid w:val="006D1BB6"/>
    <w:rsid w:val="006D5B83"/>
    <w:rsid w:val="006D5CED"/>
    <w:rsid w:val="006E189E"/>
    <w:rsid w:val="006E2500"/>
    <w:rsid w:val="006E3974"/>
    <w:rsid w:val="006E435B"/>
    <w:rsid w:val="006E4653"/>
    <w:rsid w:val="006E49AF"/>
    <w:rsid w:val="006E5D89"/>
    <w:rsid w:val="006F2382"/>
    <w:rsid w:val="006F5360"/>
    <w:rsid w:val="006F5E3C"/>
    <w:rsid w:val="006F7D15"/>
    <w:rsid w:val="006F7DD3"/>
    <w:rsid w:val="00702E6B"/>
    <w:rsid w:val="00703E69"/>
    <w:rsid w:val="00705134"/>
    <w:rsid w:val="00706EFD"/>
    <w:rsid w:val="007111E2"/>
    <w:rsid w:val="00711B1E"/>
    <w:rsid w:val="00711E43"/>
    <w:rsid w:val="00712456"/>
    <w:rsid w:val="0072209E"/>
    <w:rsid w:val="00722888"/>
    <w:rsid w:val="007230D5"/>
    <w:rsid w:val="00723680"/>
    <w:rsid w:val="00723B09"/>
    <w:rsid w:val="00732855"/>
    <w:rsid w:val="00732F5D"/>
    <w:rsid w:val="007344AA"/>
    <w:rsid w:val="00734CB6"/>
    <w:rsid w:val="0073508E"/>
    <w:rsid w:val="00735E69"/>
    <w:rsid w:val="00741FAB"/>
    <w:rsid w:val="007457D5"/>
    <w:rsid w:val="007460AA"/>
    <w:rsid w:val="0074621B"/>
    <w:rsid w:val="00746803"/>
    <w:rsid w:val="00750391"/>
    <w:rsid w:val="00750A92"/>
    <w:rsid w:val="007563D3"/>
    <w:rsid w:val="00757CA6"/>
    <w:rsid w:val="007604E9"/>
    <w:rsid w:val="007639EC"/>
    <w:rsid w:val="00764542"/>
    <w:rsid w:val="007744CB"/>
    <w:rsid w:val="00775282"/>
    <w:rsid w:val="00775DB0"/>
    <w:rsid w:val="00780B8D"/>
    <w:rsid w:val="00780C58"/>
    <w:rsid w:val="00780D5F"/>
    <w:rsid w:val="00781078"/>
    <w:rsid w:val="00781D69"/>
    <w:rsid w:val="00787D6C"/>
    <w:rsid w:val="00790DB9"/>
    <w:rsid w:val="0079331C"/>
    <w:rsid w:val="00795917"/>
    <w:rsid w:val="0079661C"/>
    <w:rsid w:val="007A2D30"/>
    <w:rsid w:val="007A3042"/>
    <w:rsid w:val="007A3B44"/>
    <w:rsid w:val="007A483C"/>
    <w:rsid w:val="007A5BE5"/>
    <w:rsid w:val="007A7294"/>
    <w:rsid w:val="007A73BD"/>
    <w:rsid w:val="007A78B5"/>
    <w:rsid w:val="007B0441"/>
    <w:rsid w:val="007B09F0"/>
    <w:rsid w:val="007B0E00"/>
    <w:rsid w:val="007B2057"/>
    <w:rsid w:val="007B33C9"/>
    <w:rsid w:val="007B3897"/>
    <w:rsid w:val="007B425A"/>
    <w:rsid w:val="007B47E0"/>
    <w:rsid w:val="007B4DE4"/>
    <w:rsid w:val="007C287D"/>
    <w:rsid w:val="007D0A9A"/>
    <w:rsid w:val="007D37EB"/>
    <w:rsid w:val="007D65DD"/>
    <w:rsid w:val="007D7596"/>
    <w:rsid w:val="007D79C7"/>
    <w:rsid w:val="007E1383"/>
    <w:rsid w:val="007E2A40"/>
    <w:rsid w:val="007E2F79"/>
    <w:rsid w:val="007E554B"/>
    <w:rsid w:val="007E580B"/>
    <w:rsid w:val="007E6B4F"/>
    <w:rsid w:val="007F02CA"/>
    <w:rsid w:val="007F1402"/>
    <w:rsid w:val="007F1773"/>
    <w:rsid w:val="007F31D5"/>
    <w:rsid w:val="007F3975"/>
    <w:rsid w:val="007F4A56"/>
    <w:rsid w:val="007F52F3"/>
    <w:rsid w:val="00800F24"/>
    <w:rsid w:val="0080156F"/>
    <w:rsid w:val="00801A39"/>
    <w:rsid w:val="00801F8D"/>
    <w:rsid w:val="00803BAC"/>
    <w:rsid w:val="008059E7"/>
    <w:rsid w:val="00806CBF"/>
    <w:rsid w:val="00811ACC"/>
    <w:rsid w:val="00811E59"/>
    <w:rsid w:val="008122F1"/>
    <w:rsid w:val="008124F1"/>
    <w:rsid w:val="008252E2"/>
    <w:rsid w:val="00825316"/>
    <w:rsid w:val="00827DD7"/>
    <w:rsid w:val="00832260"/>
    <w:rsid w:val="00833891"/>
    <w:rsid w:val="00833B63"/>
    <w:rsid w:val="00833DE4"/>
    <w:rsid w:val="00834A5D"/>
    <w:rsid w:val="00844BFC"/>
    <w:rsid w:val="00847466"/>
    <w:rsid w:val="00850161"/>
    <w:rsid w:val="00851883"/>
    <w:rsid w:val="00851F51"/>
    <w:rsid w:val="008527A5"/>
    <w:rsid w:val="008538F8"/>
    <w:rsid w:val="00853FD1"/>
    <w:rsid w:val="00862142"/>
    <w:rsid w:val="00864D75"/>
    <w:rsid w:val="008661FB"/>
    <w:rsid w:val="00866926"/>
    <w:rsid w:val="00867AF7"/>
    <w:rsid w:val="00874A24"/>
    <w:rsid w:val="00874D53"/>
    <w:rsid w:val="00881A76"/>
    <w:rsid w:val="008820A4"/>
    <w:rsid w:val="008828DE"/>
    <w:rsid w:val="008830A2"/>
    <w:rsid w:val="0088702D"/>
    <w:rsid w:val="00890F9E"/>
    <w:rsid w:val="00892F32"/>
    <w:rsid w:val="00895456"/>
    <w:rsid w:val="00896B61"/>
    <w:rsid w:val="008A10D4"/>
    <w:rsid w:val="008A3E7C"/>
    <w:rsid w:val="008A53C7"/>
    <w:rsid w:val="008A5D86"/>
    <w:rsid w:val="008B14B9"/>
    <w:rsid w:val="008B462B"/>
    <w:rsid w:val="008B564E"/>
    <w:rsid w:val="008B60B4"/>
    <w:rsid w:val="008B71C6"/>
    <w:rsid w:val="008C7863"/>
    <w:rsid w:val="008C78DD"/>
    <w:rsid w:val="008D2E02"/>
    <w:rsid w:val="008D49C9"/>
    <w:rsid w:val="008D581C"/>
    <w:rsid w:val="008E207F"/>
    <w:rsid w:val="008E3760"/>
    <w:rsid w:val="008E3FD6"/>
    <w:rsid w:val="008E64E6"/>
    <w:rsid w:val="008E76DC"/>
    <w:rsid w:val="008F0F89"/>
    <w:rsid w:val="008F1BFF"/>
    <w:rsid w:val="008F2075"/>
    <w:rsid w:val="008F26F9"/>
    <w:rsid w:val="008F4DD5"/>
    <w:rsid w:val="008F598B"/>
    <w:rsid w:val="008F6945"/>
    <w:rsid w:val="008F7644"/>
    <w:rsid w:val="008F7D74"/>
    <w:rsid w:val="00900222"/>
    <w:rsid w:val="00902277"/>
    <w:rsid w:val="009032B6"/>
    <w:rsid w:val="009043D7"/>
    <w:rsid w:val="00912BF2"/>
    <w:rsid w:val="0091301B"/>
    <w:rsid w:val="00913395"/>
    <w:rsid w:val="00913F19"/>
    <w:rsid w:val="00915C23"/>
    <w:rsid w:val="009169BD"/>
    <w:rsid w:val="00916E5C"/>
    <w:rsid w:val="009179DD"/>
    <w:rsid w:val="009235F8"/>
    <w:rsid w:val="00924041"/>
    <w:rsid w:val="00926E9C"/>
    <w:rsid w:val="00927BFA"/>
    <w:rsid w:val="009345F4"/>
    <w:rsid w:val="00936B86"/>
    <w:rsid w:val="0094400F"/>
    <w:rsid w:val="00944FA0"/>
    <w:rsid w:val="00945C51"/>
    <w:rsid w:val="00946292"/>
    <w:rsid w:val="00946304"/>
    <w:rsid w:val="00950587"/>
    <w:rsid w:val="00953BCF"/>
    <w:rsid w:val="00955219"/>
    <w:rsid w:val="00956F99"/>
    <w:rsid w:val="009604D9"/>
    <w:rsid w:val="009615B9"/>
    <w:rsid w:val="009618C7"/>
    <w:rsid w:val="0096195C"/>
    <w:rsid w:val="009619C5"/>
    <w:rsid w:val="00961E0B"/>
    <w:rsid w:val="00961EEE"/>
    <w:rsid w:val="00963B8F"/>
    <w:rsid w:val="00963C59"/>
    <w:rsid w:val="00964D27"/>
    <w:rsid w:val="009702A7"/>
    <w:rsid w:val="009727FD"/>
    <w:rsid w:val="009732D3"/>
    <w:rsid w:val="00973762"/>
    <w:rsid w:val="00973DEA"/>
    <w:rsid w:val="00980A52"/>
    <w:rsid w:val="00983915"/>
    <w:rsid w:val="00984094"/>
    <w:rsid w:val="009845BC"/>
    <w:rsid w:val="009867A6"/>
    <w:rsid w:val="00987422"/>
    <w:rsid w:val="009902B6"/>
    <w:rsid w:val="00990563"/>
    <w:rsid w:val="0099099A"/>
    <w:rsid w:val="00990A85"/>
    <w:rsid w:val="0099129D"/>
    <w:rsid w:val="0099134B"/>
    <w:rsid w:val="0099150B"/>
    <w:rsid w:val="00996057"/>
    <w:rsid w:val="0099664A"/>
    <w:rsid w:val="009A3038"/>
    <w:rsid w:val="009A50B2"/>
    <w:rsid w:val="009A7FA9"/>
    <w:rsid w:val="009B62BF"/>
    <w:rsid w:val="009C733F"/>
    <w:rsid w:val="009C77BA"/>
    <w:rsid w:val="009D36FA"/>
    <w:rsid w:val="009D3D04"/>
    <w:rsid w:val="009D615E"/>
    <w:rsid w:val="009E1D89"/>
    <w:rsid w:val="009E2642"/>
    <w:rsid w:val="009E297A"/>
    <w:rsid w:val="009E2DB6"/>
    <w:rsid w:val="009E405E"/>
    <w:rsid w:val="009E59B4"/>
    <w:rsid w:val="009E7620"/>
    <w:rsid w:val="009F134B"/>
    <w:rsid w:val="009F18FD"/>
    <w:rsid w:val="009F432F"/>
    <w:rsid w:val="009F540B"/>
    <w:rsid w:val="009F632B"/>
    <w:rsid w:val="009F67E0"/>
    <w:rsid w:val="00A01C57"/>
    <w:rsid w:val="00A01E3A"/>
    <w:rsid w:val="00A02222"/>
    <w:rsid w:val="00A031F1"/>
    <w:rsid w:val="00A054F8"/>
    <w:rsid w:val="00A05966"/>
    <w:rsid w:val="00A064FB"/>
    <w:rsid w:val="00A12A87"/>
    <w:rsid w:val="00A13CA3"/>
    <w:rsid w:val="00A15176"/>
    <w:rsid w:val="00A168FC"/>
    <w:rsid w:val="00A20229"/>
    <w:rsid w:val="00A227CE"/>
    <w:rsid w:val="00A23495"/>
    <w:rsid w:val="00A24194"/>
    <w:rsid w:val="00A26995"/>
    <w:rsid w:val="00A26BFC"/>
    <w:rsid w:val="00A31738"/>
    <w:rsid w:val="00A31BF9"/>
    <w:rsid w:val="00A31DC0"/>
    <w:rsid w:val="00A32B9C"/>
    <w:rsid w:val="00A331F5"/>
    <w:rsid w:val="00A33D48"/>
    <w:rsid w:val="00A34781"/>
    <w:rsid w:val="00A349A6"/>
    <w:rsid w:val="00A35E92"/>
    <w:rsid w:val="00A3720F"/>
    <w:rsid w:val="00A40447"/>
    <w:rsid w:val="00A41F98"/>
    <w:rsid w:val="00A469D4"/>
    <w:rsid w:val="00A522DE"/>
    <w:rsid w:val="00A5581E"/>
    <w:rsid w:val="00A60E71"/>
    <w:rsid w:val="00A621C5"/>
    <w:rsid w:val="00A637DE"/>
    <w:rsid w:val="00A6479E"/>
    <w:rsid w:val="00A6484C"/>
    <w:rsid w:val="00A655FC"/>
    <w:rsid w:val="00A6593F"/>
    <w:rsid w:val="00A779D8"/>
    <w:rsid w:val="00A80A8E"/>
    <w:rsid w:val="00A8127A"/>
    <w:rsid w:val="00A813BF"/>
    <w:rsid w:val="00A8168E"/>
    <w:rsid w:val="00A848E4"/>
    <w:rsid w:val="00A86309"/>
    <w:rsid w:val="00AA01B6"/>
    <w:rsid w:val="00AA0C4F"/>
    <w:rsid w:val="00AA27A7"/>
    <w:rsid w:val="00AA5925"/>
    <w:rsid w:val="00AA668D"/>
    <w:rsid w:val="00AA7AF9"/>
    <w:rsid w:val="00AC0224"/>
    <w:rsid w:val="00AC46CF"/>
    <w:rsid w:val="00AC4C3C"/>
    <w:rsid w:val="00AC52D6"/>
    <w:rsid w:val="00AC57E9"/>
    <w:rsid w:val="00AD2BF4"/>
    <w:rsid w:val="00AD3B47"/>
    <w:rsid w:val="00AD3D4E"/>
    <w:rsid w:val="00AD5E56"/>
    <w:rsid w:val="00AD6E11"/>
    <w:rsid w:val="00AE5F43"/>
    <w:rsid w:val="00AF5E37"/>
    <w:rsid w:val="00B019F0"/>
    <w:rsid w:val="00B01EBA"/>
    <w:rsid w:val="00B032F4"/>
    <w:rsid w:val="00B0397D"/>
    <w:rsid w:val="00B0492D"/>
    <w:rsid w:val="00B06A34"/>
    <w:rsid w:val="00B079D6"/>
    <w:rsid w:val="00B11459"/>
    <w:rsid w:val="00B154F5"/>
    <w:rsid w:val="00B20A8B"/>
    <w:rsid w:val="00B21BB5"/>
    <w:rsid w:val="00B2402A"/>
    <w:rsid w:val="00B31231"/>
    <w:rsid w:val="00B3354F"/>
    <w:rsid w:val="00B33921"/>
    <w:rsid w:val="00B34C9B"/>
    <w:rsid w:val="00B35D9E"/>
    <w:rsid w:val="00B37017"/>
    <w:rsid w:val="00B4062B"/>
    <w:rsid w:val="00B4082C"/>
    <w:rsid w:val="00B41507"/>
    <w:rsid w:val="00B42A9C"/>
    <w:rsid w:val="00B42FE1"/>
    <w:rsid w:val="00B441CD"/>
    <w:rsid w:val="00B447A1"/>
    <w:rsid w:val="00B453FE"/>
    <w:rsid w:val="00B4756D"/>
    <w:rsid w:val="00B47A21"/>
    <w:rsid w:val="00B53D74"/>
    <w:rsid w:val="00B55D88"/>
    <w:rsid w:val="00B55F9B"/>
    <w:rsid w:val="00B616E6"/>
    <w:rsid w:val="00B62701"/>
    <w:rsid w:val="00B637E1"/>
    <w:rsid w:val="00B63FD1"/>
    <w:rsid w:val="00B64A4B"/>
    <w:rsid w:val="00B67EE7"/>
    <w:rsid w:val="00B737E9"/>
    <w:rsid w:val="00B73BF2"/>
    <w:rsid w:val="00B74845"/>
    <w:rsid w:val="00B75C4C"/>
    <w:rsid w:val="00B76BBB"/>
    <w:rsid w:val="00B80976"/>
    <w:rsid w:val="00B810DC"/>
    <w:rsid w:val="00B8261F"/>
    <w:rsid w:val="00B871EC"/>
    <w:rsid w:val="00B924D0"/>
    <w:rsid w:val="00B9442F"/>
    <w:rsid w:val="00BA276F"/>
    <w:rsid w:val="00BA7BC6"/>
    <w:rsid w:val="00BB1AA9"/>
    <w:rsid w:val="00BB2719"/>
    <w:rsid w:val="00BB3665"/>
    <w:rsid w:val="00BB62D7"/>
    <w:rsid w:val="00BB632C"/>
    <w:rsid w:val="00BB7551"/>
    <w:rsid w:val="00BB79F4"/>
    <w:rsid w:val="00BC31BC"/>
    <w:rsid w:val="00BC36E2"/>
    <w:rsid w:val="00BC4BCC"/>
    <w:rsid w:val="00BC6797"/>
    <w:rsid w:val="00BD0EA6"/>
    <w:rsid w:val="00BD130B"/>
    <w:rsid w:val="00BD4DF6"/>
    <w:rsid w:val="00BD50DD"/>
    <w:rsid w:val="00BD6D02"/>
    <w:rsid w:val="00BD7110"/>
    <w:rsid w:val="00BE045A"/>
    <w:rsid w:val="00BE08A2"/>
    <w:rsid w:val="00BE0BF6"/>
    <w:rsid w:val="00BE50B4"/>
    <w:rsid w:val="00BE5DB5"/>
    <w:rsid w:val="00BE646E"/>
    <w:rsid w:val="00BF05A5"/>
    <w:rsid w:val="00BF06DE"/>
    <w:rsid w:val="00BF077D"/>
    <w:rsid w:val="00BF5EF5"/>
    <w:rsid w:val="00BF7B65"/>
    <w:rsid w:val="00C00EB1"/>
    <w:rsid w:val="00C03868"/>
    <w:rsid w:val="00C04339"/>
    <w:rsid w:val="00C04D01"/>
    <w:rsid w:val="00C07FBF"/>
    <w:rsid w:val="00C16CA5"/>
    <w:rsid w:val="00C208AB"/>
    <w:rsid w:val="00C21643"/>
    <w:rsid w:val="00C21C1A"/>
    <w:rsid w:val="00C22464"/>
    <w:rsid w:val="00C234C1"/>
    <w:rsid w:val="00C23C17"/>
    <w:rsid w:val="00C2433C"/>
    <w:rsid w:val="00C258EE"/>
    <w:rsid w:val="00C30834"/>
    <w:rsid w:val="00C30B7E"/>
    <w:rsid w:val="00C37C18"/>
    <w:rsid w:val="00C42175"/>
    <w:rsid w:val="00C46126"/>
    <w:rsid w:val="00C55D24"/>
    <w:rsid w:val="00C56416"/>
    <w:rsid w:val="00C57DF2"/>
    <w:rsid w:val="00C6232A"/>
    <w:rsid w:val="00C64300"/>
    <w:rsid w:val="00C679B0"/>
    <w:rsid w:val="00C709C6"/>
    <w:rsid w:val="00C70C31"/>
    <w:rsid w:val="00C73DF0"/>
    <w:rsid w:val="00C76D18"/>
    <w:rsid w:val="00C801E3"/>
    <w:rsid w:val="00C81C60"/>
    <w:rsid w:val="00C83B09"/>
    <w:rsid w:val="00C90F67"/>
    <w:rsid w:val="00C9169A"/>
    <w:rsid w:val="00C92C64"/>
    <w:rsid w:val="00C94855"/>
    <w:rsid w:val="00C95C85"/>
    <w:rsid w:val="00CA09AE"/>
    <w:rsid w:val="00CA36AE"/>
    <w:rsid w:val="00CA489C"/>
    <w:rsid w:val="00CA6F08"/>
    <w:rsid w:val="00CA751A"/>
    <w:rsid w:val="00CA7749"/>
    <w:rsid w:val="00CB0583"/>
    <w:rsid w:val="00CB2C15"/>
    <w:rsid w:val="00CB4290"/>
    <w:rsid w:val="00CB53B2"/>
    <w:rsid w:val="00CB75AD"/>
    <w:rsid w:val="00CB7ADF"/>
    <w:rsid w:val="00CC07D8"/>
    <w:rsid w:val="00CC1507"/>
    <w:rsid w:val="00CC192F"/>
    <w:rsid w:val="00CC201F"/>
    <w:rsid w:val="00CC2739"/>
    <w:rsid w:val="00CC464C"/>
    <w:rsid w:val="00CC6491"/>
    <w:rsid w:val="00CC6FB6"/>
    <w:rsid w:val="00CC74D1"/>
    <w:rsid w:val="00CC7C92"/>
    <w:rsid w:val="00CD3194"/>
    <w:rsid w:val="00CD351C"/>
    <w:rsid w:val="00CD4CEB"/>
    <w:rsid w:val="00CE09B1"/>
    <w:rsid w:val="00CE3F97"/>
    <w:rsid w:val="00CE7EFB"/>
    <w:rsid w:val="00CF06B0"/>
    <w:rsid w:val="00CF1C83"/>
    <w:rsid w:val="00CF1C9D"/>
    <w:rsid w:val="00CF29AA"/>
    <w:rsid w:val="00CF3D6D"/>
    <w:rsid w:val="00D0190B"/>
    <w:rsid w:val="00D03D44"/>
    <w:rsid w:val="00D055EB"/>
    <w:rsid w:val="00D073AF"/>
    <w:rsid w:val="00D1165A"/>
    <w:rsid w:val="00D124F5"/>
    <w:rsid w:val="00D12603"/>
    <w:rsid w:val="00D13085"/>
    <w:rsid w:val="00D164D0"/>
    <w:rsid w:val="00D22B17"/>
    <w:rsid w:val="00D233DE"/>
    <w:rsid w:val="00D23FB9"/>
    <w:rsid w:val="00D2559A"/>
    <w:rsid w:val="00D30CF8"/>
    <w:rsid w:val="00D30FC1"/>
    <w:rsid w:val="00D31E4C"/>
    <w:rsid w:val="00D34503"/>
    <w:rsid w:val="00D400B6"/>
    <w:rsid w:val="00D40117"/>
    <w:rsid w:val="00D413D8"/>
    <w:rsid w:val="00D41FB1"/>
    <w:rsid w:val="00D42D55"/>
    <w:rsid w:val="00D4327B"/>
    <w:rsid w:val="00D43B33"/>
    <w:rsid w:val="00D47404"/>
    <w:rsid w:val="00D4761D"/>
    <w:rsid w:val="00D50004"/>
    <w:rsid w:val="00D53265"/>
    <w:rsid w:val="00D53A00"/>
    <w:rsid w:val="00D54F3C"/>
    <w:rsid w:val="00D556A3"/>
    <w:rsid w:val="00D55C38"/>
    <w:rsid w:val="00D6182C"/>
    <w:rsid w:val="00D61999"/>
    <w:rsid w:val="00D62B31"/>
    <w:rsid w:val="00D64E93"/>
    <w:rsid w:val="00D64F6A"/>
    <w:rsid w:val="00D65DE5"/>
    <w:rsid w:val="00D66441"/>
    <w:rsid w:val="00D6656C"/>
    <w:rsid w:val="00D6785E"/>
    <w:rsid w:val="00D70A4C"/>
    <w:rsid w:val="00D72063"/>
    <w:rsid w:val="00D732B7"/>
    <w:rsid w:val="00D7648F"/>
    <w:rsid w:val="00D81161"/>
    <w:rsid w:val="00D84770"/>
    <w:rsid w:val="00D84DF8"/>
    <w:rsid w:val="00D90D5C"/>
    <w:rsid w:val="00D9222E"/>
    <w:rsid w:val="00D958F2"/>
    <w:rsid w:val="00D95B45"/>
    <w:rsid w:val="00D969B4"/>
    <w:rsid w:val="00D96F58"/>
    <w:rsid w:val="00DA0488"/>
    <w:rsid w:val="00DA2710"/>
    <w:rsid w:val="00DA2B18"/>
    <w:rsid w:val="00DA3BA6"/>
    <w:rsid w:val="00DB0E07"/>
    <w:rsid w:val="00DB4FB6"/>
    <w:rsid w:val="00DB5325"/>
    <w:rsid w:val="00DB5856"/>
    <w:rsid w:val="00DC0951"/>
    <w:rsid w:val="00DC235A"/>
    <w:rsid w:val="00DC27B4"/>
    <w:rsid w:val="00DC3E38"/>
    <w:rsid w:val="00DC5420"/>
    <w:rsid w:val="00DC5E6E"/>
    <w:rsid w:val="00DD1F10"/>
    <w:rsid w:val="00DD249D"/>
    <w:rsid w:val="00DD27A4"/>
    <w:rsid w:val="00DD32B1"/>
    <w:rsid w:val="00DD635F"/>
    <w:rsid w:val="00DD6949"/>
    <w:rsid w:val="00DD6EFF"/>
    <w:rsid w:val="00DD716F"/>
    <w:rsid w:val="00DE071B"/>
    <w:rsid w:val="00DE2175"/>
    <w:rsid w:val="00DE2BEA"/>
    <w:rsid w:val="00DE54AF"/>
    <w:rsid w:val="00DF1B22"/>
    <w:rsid w:val="00DF27CD"/>
    <w:rsid w:val="00DF4DBB"/>
    <w:rsid w:val="00DF6411"/>
    <w:rsid w:val="00DF6C4E"/>
    <w:rsid w:val="00DF7F65"/>
    <w:rsid w:val="00E000F0"/>
    <w:rsid w:val="00E00761"/>
    <w:rsid w:val="00E037E9"/>
    <w:rsid w:val="00E03C15"/>
    <w:rsid w:val="00E0417E"/>
    <w:rsid w:val="00E10A58"/>
    <w:rsid w:val="00E157D6"/>
    <w:rsid w:val="00E26154"/>
    <w:rsid w:val="00E30752"/>
    <w:rsid w:val="00E323B8"/>
    <w:rsid w:val="00E34AB4"/>
    <w:rsid w:val="00E449E8"/>
    <w:rsid w:val="00E44A9E"/>
    <w:rsid w:val="00E45A4E"/>
    <w:rsid w:val="00E45FE4"/>
    <w:rsid w:val="00E469FA"/>
    <w:rsid w:val="00E5006B"/>
    <w:rsid w:val="00E526E9"/>
    <w:rsid w:val="00E52DDA"/>
    <w:rsid w:val="00E531F3"/>
    <w:rsid w:val="00E551F4"/>
    <w:rsid w:val="00E630AB"/>
    <w:rsid w:val="00E631EB"/>
    <w:rsid w:val="00E6453C"/>
    <w:rsid w:val="00E64661"/>
    <w:rsid w:val="00E65590"/>
    <w:rsid w:val="00E670DF"/>
    <w:rsid w:val="00E703AD"/>
    <w:rsid w:val="00E71051"/>
    <w:rsid w:val="00E73C25"/>
    <w:rsid w:val="00E76A3F"/>
    <w:rsid w:val="00E82A3F"/>
    <w:rsid w:val="00E8319F"/>
    <w:rsid w:val="00E83D0F"/>
    <w:rsid w:val="00E85621"/>
    <w:rsid w:val="00E8700B"/>
    <w:rsid w:val="00E903FD"/>
    <w:rsid w:val="00E914BF"/>
    <w:rsid w:val="00E92645"/>
    <w:rsid w:val="00E94854"/>
    <w:rsid w:val="00E9598E"/>
    <w:rsid w:val="00E962DF"/>
    <w:rsid w:val="00E9671A"/>
    <w:rsid w:val="00E97713"/>
    <w:rsid w:val="00EA1153"/>
    <w:rsid w:val="00EA1760"/>
    <w:rsid w:val="00EA348E"/>
    <w:rsid w:val="00EA4035"/>
    <w:rsid w:val="00EA59B9"/>
    <w:rsid w:val="00EA5B73"/>
    <w:rsid w:val="00EB006F"/>
    <w:rsid w:val="00EB12F0"/>
    <w:rsid w:val="00EB1317"/>
    <w:rsid w:val="00EB425A"/>
    <w:rsid w:val="00EB5CEA"/>
    <w:rsid w:val="00EC1782"/>
    <w:rsid w:val="00EC1C00"/>
    <w:rsid w:val="00EC2B95"/>
    <w:rsid w:val="00EC32BA"/>
    <w:rsid w:val="00EC56D4"/>
    <w:rsid w:val="00EC75B7"/>
    <w:rsid w:val="00EC7D83"/>
    <w:rsid w:val="00ED0499"/>
    <w:rsid w:val="00ED14FC"/>
    <w:rsid w:val="00ED17DA"/>
    <w:rsid w:val="00ED199B"/>
    <w:rsid w:val="00ED2470"/>
    <w:rsid w:val="00ED394E"/>
    <w:rsid w:val="00ED654A"/>
    <w:rsid w:val="00ED68EA"/>
    <w:rsid w:val="00ED69A2"/>
    <w:rsid w:val="00EE62D3"/>
    <w:rsid w:val="00EF0F29"/>
    <w:rsid w:val="00EF1073"/>
    <w:rsid w:val="00EF1A32"/>
    <w:rsid w:val="00EF5632"/>
    <w:rsid w:val="00EF616A"/>
    <w:rsid w:val="00EF7268"/>
    <w:rsid w:val="00EF7945"/>
    <w:rsid w:val="00F004FA"/>
    <w:rsid w:val="00F02646"/>
    <w:rsid w:val="00F02CD0"/>
    <w:rsid w:val="00F03EDF"/>
    <w:rsid w:val="00F062EE"/>
    <w:rsid w:val="00F10EFA"/>
    <w:rsid w:val="00F11253"/>
    <w:rsid w:val="00F1644E"/>
    <w:rsid w:val="00F204B6"/>
    <w:rsid w:val="00F213D7"/>
    <w:rsid w:val="00F21596"/>
    <w:rsid w:val="00F231C8"/>
    <w:rsid w:val="00F24AED"/>
    <w:rsid w:val="00F30497"/>
    <w:rsid w:val="00F317F9"/>
    <w:rsid w:val="00F345B3"/>
    <w:rsid w:val="00F450FD"/>
    <w:rsid w:val="00F47B5F"/>
    <w:rsid w:val="00F47B94"/>
    <w:rsid w:val="00F47C35"/>
    <w:rsid w:val="00F50646"/>
    <w:rsid w:val="00F5433F"/>
    <w:rsid w:val="00F54C5E"/>
    <w:rsid w:val="00F62E1C"/>
    <w:rsid w:val="00F71960"/>
    <w:rsid w:val="00F73E27"/>
    <w:rsid w:val="00F74CA9"/>
    <w:rsid w:val="00F75544"/>
    <w:rsid w:val="00F77CF2"/>
    <w:rsid w:val="00F826E0"/>
    <w:rsid w:val="00F83E83"/>
    <w:rsid w:val="00F84CE0"/>
    <w:rsid w:val="00F86520"/>
    <w:rsid w:val="00F87239"/>
    <w:rsid w:val="00F90771"/>
    <w:rsid w:val="00F90A06"/>
    <w:rsid w:val="00F90A9E"/>
    <w:rsid w:val="00F919A4"/>
    <w:rsid w:val="00F92494"/>
    <w:rsid w:val="00F92DB9"/>
    <w:rsid w:val="00F965C1"/>
    <w:rsid w:val="00F96C33"/>
    <w:rsid w:val="00FA1259"/>
    <w:rsid w:val="00FA2DDE"/>
    <w:rsid w:val="00FA36E2"/>
    <w:rsid w:val="00FA7E9D"/>
    <w:rsid w:val="00FB3108"/>
    <w:rsid w:val="00FB38E7"/>
    <w:rsid w:val="00FB6605"/>
    <w:rsid w:val="00FC0860"/>
    <w:rsid w:val="00FC0BD2"/>
    <w:rsid w:val="00FC2CF9"/>
    <w:rsid w:val="00FC5507"/>
    <w:rsid w:val="00FC5E3E"/>
    <w:rsid w:val="00FC655C"/>
    <w:rsid w:val="00FD2D17"/>
    <w:rsid w:val="00FD33C5"/>
    <w:rsid w:val="00FE2376"/>
    <w:rsid w:val="00FE2771"/>
    <w:rsid w:val="00FE4DF1"/>
    <w:rsid w:val="00FF1282"/>
    <w:rsid w:val="00FF5880"/>
    <w:rsid w:val="00FF6C87"/>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Mincho" w:hAnsi="Cambria"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7B1A"/>
    <w:pPr>
      <w:spacing w:after="120"/>
      <w:ind w:firstLine="709"/>
    </w:pPr>
    <w:rPr>
      <w:rFonts w:ascii="Times New Roman" w:hAnsi="Times New Roman"/>
      <w:sz w:val="24"/>
      <w:szCs w:val="24"/>
      <w:lang w:val="en-GB" w:eastAsia="it-IT"/>
    </w:rPr>
  </w:style>
  <w:style w:type="paragraph" w:styleId="Heading1">
    <w:name w:val="heading 1"/>
    <w:basedOn w:val="Normal"/>
    <w:next w:val="Normal"/>
    <w:link w:val="Heading1Char"/>
    <w:uiPriority w:val="99"/>
    <w:qFormat/>
    <w:rsid w:val="002A6394"/>
    <w:pPr>
      <w:keepNext/>
      <w:keepLines/>
      <w:spacing w:before="480" w:after="0"/>
      <w:outlineLvl w:val="0"/>
    </w:pPr>
    <w:rPr>
      <w:rFonts w:ascii="Calibri" w:eastAsia="MS Gothic" w:hAnsi="Calibri" w:cs="Calibri"/>
      <w:b/>
      <w:bCs/>
      <w:color w:val="345A8A"/>
      <w:sz w:val="32"/>
      <w:szCs w:val="32"/>
    </w:rPr>
  </w:style>
  <w:style w:type="paragraph" w:styleId="Heading2">
    <w:name w:val="heading 2"/>
    <w:basedOn w:val="Normal"/>
    <w:next w:val="Normal"/>
    <w:link w:val="Heading2Char"/>
    <w:uiPriority w:val="99"/>
    <w:qFormat/>
    <w:rsid w:val="00230936"/>
    <w:pPr>
      <w:keepNext/>
      <w:keepLines/>
      <w:spacing w:before="200" w:after="0"/>
      <w:outlineLvl w:val="1"/>
    </w:pPr>
    <w:rPr>
      <w:rFonts w:ascii="Calibri" w:eastAsia="MS Gothic" w:hAnsi="Calibri" w:cs="Calibri"/>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A6394"/>
    <w:rPr>
      <w:rFonts w:ascii="Calibri" w:eastAsia="MS Gothic" w:hAnsi="Calibri" w:cs="Calibri"/>
      <w:b/>
      <w:bCs/>
      <w:color w:val="345A8A"/>
      <w:sz w:val="32"/>
      <w:szCs w:val="32"/>
      <w:lang w:val="en-GB"/>
    </w:rPr>
  </w:style>
  <w:style w:type="character" w:customStyle="1" w:styleId="Heading2Char">
    <w:name w:val="Heading 2 Char"/>
    <w:basedOn w:val="DefaultParagraphFont"/>
    <w:link w:val="Heading2"/>
    <w:uiPriority w:val="99"/>
    <w:locked/>
    <w:rsid w:val="00230936"/>
    <w:rPr>
      <w:rFonts w:ascii="Calibri" w:eastAsia="MS Gothic" w:hAnsi="Calibri" w:cs="Calibri"/>
      <w:b/>
      <w:bCs/>
      <w:color w:val="4F81BD"/>
      <w:sz w:val="26"/>
      <w:szCs w:val="26"/>
      <w:lang w:val="en-GB"/>
    </w:rPr>
  </w:style>
  <w:style w:type="paragraph" w:styleId="Footer">
    <w:name w:val="footer"/>
    <w:basedOn w:val="Normal"/>
    <w:link w:val="FooterChar"/>
    <w:uiPriority w:val="99"/>
    <w:rsid w:val="0037692D"/>
    <w:pPr>
      <w:tabs>
        <w:tab w:val="center" w:pos="4986"/>
        <w:tab w:val="right" w:pos="9972"/>
      </w:tabs>
    </w:pPr>
  </w:style>
  <w:style w:type="character" w:customStyle="1" w:styleId="FooterChar">
    <w:name w:val="Footer Char"/>
    <w:basedOn w:val="DefaultParagraphFont"/>
    <w:link w:val="Footer"/>
    <w:uiPriority w:val="99"/>
    <w:locked/>
    <w:rsid w:val="0037692D"/>
    <w:rPr>
      <w:lang w:val="en-GB"/>
    </w:rPr>
  </w:style>
  <w:style w:type="character" w:styleId="PageNumber">
    <w:name w:val="page number"/>
    <w:basedOn w:val="DefaultParagraphFont"/>
    <w:uiPriority w:val="99"/>
    <w:semiHidden/>
    <w:rsid w:val="0037692D"/>
  </w:style>
  <w:style w:type="paragraph" w:customStyle="1" w:styleId="Default">
    <w:name w:val="Default"/>
    <w:uiPriority w:val="99"/>
    <w:rsid w:val="00B20A8B"/>
    <w:pPr>
      <w:widowControl w:val="0"/>
      <w:autoSpaceDE w:val="0"/>
      <w:autoSpaceDN w:val="0"/>
      <w:adjustRightInd w:val="0"/>
    </w:pPr>
    <w:rPr>
      <w:rFonts w:ascii="EC Square Sans Pro" w:hAnsi="EC Square Sans Pro" w:cs="EC Square Sans Pro"/>
      <w:color w:val="000000"/>
      <w:sz w:val="24"/>
      <w:szCs w:val="24"/>
      <w:lang w:val="it-IT" w:eastAsia="it-IT"/>
    </w:rPr>
  </w:style>
  <w:style w:type="paragraph" w:customStyle="1" w:styleId="Pa3">
    <w:name w:val="Pa3"/>
    <w:basedOn w:val="Default"/>
    <w:next w:val="Default"/>
    <w:uiPriority w:val="99"/>
    <w:rsid w:val="00B20A8B"/>
    <w:pPr>
      <w:spacing w:line="221" w:lineRule="atLeast"/>
    </w:pPr>
    <w:rPr>
      <w:color w:val="auto"/>
    </w:rPr>
  </w:style>
  <w:style w:type="character" w:customStyle="1" w:styleId="A6">
    <w:name w:val="A6"/>
    <w:uiPriority w:val="99"/>
    <w:rsid w:val="00B20A8B"/>
    <w:rPr>
      <w:color w:val="000000"/>
      <w:sz w:val="28"/>
      <w:szCs w:val="28"/>
    </w:rPr>
  </w:style>
  <w:style w:type="paragraph" w:styleId="ListParagraph">
    <w:name w:val="List Paragraph"/>
    <w:basedOn w:val="Normal"/>
    <w:uiPriority w:val="99"/>
    <w:qFormat/>
    <w:rsid w:val="00B20A8B"/>
    <w:pPr>
      <w:ind w:left="720"/>
    </w:pPr>
  </w:style>
  <w:style w:type="character" w:styleId="Hyperlink">
    <w:name w:val="Hyperlink"/>
    <w:basedOn w:val="DefaultParagraphFont"/>
    <w:uiPriority w:val="99"/>
    <w:rsid w:val="00D4327B"/>
    <w:rPr>
      <w:color w:val="0000FF"/>
      <w:u w:val="single"/>
    </w:rPr>
  </w:style>
  <w:style w:type="paragraph" w:styleId="FootnoteText">
    <w:name w:val="footnote text"/>
    <w:basedOn w:val="Normal"/>
    <w:link w:val="FootnoteTextChar"/>
    <w:uiPriority w:val="99"/>
    <w:semiHidden/>
    <w:rsid w:val="00147B1A"/>
    <w:pPr>
      <w:spacing w:after="0"/>
    </w:pPr>
  </w:style>
  <w:style w:type="character" w:customStyle="1" w:styleId="FootnoteTextChar">
    <w:name w:val="Footnote Text Char"/>
    <w:basedOn w:val="DefaultParagraphFont"/>
    <w:link w:val="FootnoteText"/>
    <w:uiPriority w:val="99"/>
    <w:locked/>
    <w:rsid w:val="00147B1A"/>
    <w:rPr>
      <w:rFonts w:ascii="Times New Roman" w:hAnsi="Times New Roman" w:cs="Times New Roman"/>
      <w:lang w:val="en-GB"/>
    </w:rPr>
  </w:style>
  <w:style w:type="character" w:styleId="FootnoteReference">
    <w:name w:val="footnote reference"/>
    <w:basedOn w:val="DefaultParagraphFont"/>
    <w:uiPriority w:val="99"/>
    <w:semiHidden/>
    <w:rsid w:val="00147B1A"/>
    <w:rPr>
      <w:vertAlign w:val="superscript"/>
    </w:rPr>
  </w:style>
  <w:style w:type="paragraph" w:styleId="BalloonText">
    <w:name w:val="Balloon Text"/>
    <w:basedOn w:val="Normal"/>
    <w:link w:val="BalloonTextChar"/>
    <w:uiPriority w:val="99"/>
    <w:semiHidden/>
    <w:rsid w:val="00DF1B22"/>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DF1B22"/>
    <w:rPr>
      <w:rFonts w:ascii="Lucida Grande" w:hAnsi="Lucida Grande" w:cs="Lucida Grande"/>
      <w:sz w:val="18"/>
      <w:szCs w:val="18"/>
      <w:lang w:val="en-GB"/>
    </w:rPr>
  </w:style>
  <w:style w:type="paragraph" w:styleId="NoSpacing">
    <w:name w:val="No Spacing"/>
    <w:uiPriority w:val="99"/>
    <w:qFormat/>
    <w:rsid w:val="00AC46CF"/>
    <w:pPr>
      <w:ind w:firstLine="709"/>
    </w:pPr>
    <w:rPr>
      <w:rFonts w:ascii="Times New Roman" w:hAnsi="Times New Roman"/>
      <w:sz w:val="24"/>
      <w:szCs w:val="24"/>
      <w:lang w:val="en-GB" w:eastAsia="it-IT"/>
    </w:rPr>
  </w:style>
  <w:style w:type="paragraph" w:styleId="TOC2">
    <w:name w:val="toc 2"/>
    <w:basedOn w:val="Normal"/>
    <w:next w:val="Normal"/>
    <w:autoRedefine/>
    <w:uiPriority w:val="99"/>
    <w:semiHidden/>
    <w:rsid w:val="00323363"/>
    <w:pPr>
      <w:tabs>
        <w:tab w:val="right" w:pos="9622"/>
      </w:tabs>
      <w:spacing w:after="0"/>
      <w:ind w:firstLine="0"/>
    </w:pPr>
    <w:rPr>
      <w:rFonts w:ascii="Cambria" w:hAnsi="Cambria" w:cs="Cambria"/>
      <w:b/>
      <w:bCs/>
      <w:smallCaps/>
      <w:sz w:val="22"/>
      <w:szCs w:val="22"/>
    </w:rPr>
  </w:style>
  <w:style w:type="paragraph" w:styleId="TOC1">
    <w:name w:val="toc 1"/>
    <w:basedOn w:val="Normal"/>
    <w:next w:val="Normal"/>
    <w:autoRedefine/>
    <w:uiPriority w:val="99"/>
    <w:semiHidden/>
    <w:rsid w:val="00735E69"/>
    <w:pPr>
      <w:spacing w:before="240"/>
      <w:ind w:firstLine="0"/>
    </w:pPr>
    <w:rPr>
      <w:rFonts w:ascii="Cambria" w:hAnsi="Cambria" w:cs="Cambria"/>
      <w:b/>
      <w:bCs/>
      <w:caps/>
      <w:sz w:val="22"/>
      <w:szCs w:val="22"/>
      <w:u w:val="single"/>
    </w:rPr>
  </w:style>
  <w:style w:type="paragraph" w:styleId="TOC3">
    <w:name w:val="toc 3"/>
    <w:basedOn w:val="Normal"/>
    <w:next w:val="Normal"/>
    <w:autoRedefine/>
    <w:uiPriority w:val="99"/>
    <w:semiHidden/>
    <w:rsid w:val="00735E69"/>
    <w:pPr>
      <w:spacing w:after="0"/>
      <w:ind w:firstLine="0"/>
    </w:pPr>
    <w:rPr>
      <w:rFonts w:ascii="Cambria" w:hAnsi="Cambria" w:cs="Cambria"/>
      <w:smallCaps/>
      <w:sz w:val="22"/>
      <w:szCs w:val="22"/>
    </w:rPr>
  </w:style>
  <w:style w:type="paragraph" w:styleId="TOC4">
    <w:name w:val="toc 4"/>
    <w:basedOn w:val="Normal"/>
    <w:next w:val="Normal"/>
    <w:autoRedefine/>
    <w:uiPriority w:val="99"/>
    <w:semiHidden/>
    <w:rsid w:val="00735E69"/>
    <w:pPr>
      <w:spacing w:after="0"/>
      <w:ind w:firstLine="0"/>
    </w:pPr>
    <w:rPr>
      <w:rFonts w:ascii="Cambria" w:hAnsi="Cambria" w:cs="Cambria"/>
      <w:sz w:val="22"/>
      <w:szCs w:val="22"/>
    </w:rPr>
  </w:style>
  <w:style w:type="paragraph" w:styleId="TOC5">
    <w:name w:val="toc 5"/>
    <w:basedOn w:val="Normal"/>
    <w:next w:val="Normal"/>
    <w:autoRedefine/>
    <w:uiPriority w:val="99"/>
    <w:semiHidden/>
    <w:rsid w:val="00735E69"/>
    <w:pPr>
      <w:spacing w:after="0"/>
      <w:ind w:firstLine="0"/>
    </w:pPr>
    <w:rPr>
      <w:rFonts w:ascii="Cambria" w:hAnsi="Cambria" w:cs="Cambria"/>
      <w:sz w:val="22"/>
      <w:szCs w:val="22"/>
    </w:rPr>
  </w:style>
  <w:style w:type="paragraph" w:styleId="TOC6">
    <w:name w:val="toc 6"/>
    <w:basedOn w:val="Normal"/>
    <w:next w:val="Normal"/>
    <w:autoRedefine/>
    <w:uiPriority w:val="99"/>
    <w:semiHidden/>
    <w:rsid w:val="00735E69"/>
    <w:pPr>
      <w:spacing w:after="0"/>
      <w:ind w:firstLine="0"/>
    </w:pPr>
    <w:rPr>
      <w:rFonts w:ascii="Cambria" w:hAnsi="Cambria" w:cs="Cambria"/>
      <w:sz w:val="22"/>
      <w:szCs w:val="22"/>
    </w:rPr>
  </w:style>
  <w:style w:type="paragraph" w:styleId="TOC7">
    <w:name w:val="toc 7"/>
    <w:basedOn w:val="Normal"/>
    <w:next w:val="Normal"/>
    <w:autoRedefine/>
    <w:uiPriority w:val="99"/>
    <w:semiHidden/>
    <w:rsid w:val="00735E69"/>
    <w:pPr>
      <w:spacing w:after="0"/>
      <w:ind w:firstLine="0"/>
    </w:pPr>
    <w:rPr>
      <w:rFonts w:ascii="Cambria" w:hAnsi="Cambria" w:cs="Cambria"/>
      <w:sz w:val="22"/>
      <w:szCs w:val="22"/>
    </w:rPr>
  </w:style>
  <w:style w:type="paragraph" w:styleId="TOC8">
    <w:name w:val="toc 8"/>
    <w:basedOn w:val="Normal"/>
    <w:next w:val="Normal"/>
    <w:autoRedefine/>
    <w:uiPriority w:val="99"/>
    <w:semiHidden/>
    <w:rsid w:val="00735E69"/>
    <w:pPr>
      <w:spacing w:after="0"/>
      <w:ind w:firstLine="0"/>
    </w:pPr>
    <w:rPr>
      <w:rFonts w:ascii="Cambria" w:hAnsi="Cambria" w:cs="Cambria"/>
      <w:sz w:val="22"/>
      <w:szCs w:val="22"/>
    </w:rPr>
  </w:style>
  <w:style w:type="paragraph" w:styleId="TOC9">
    <w:name w:val="toc 9"/>
    <w:basedOn w:val="Normal"/>
    <w:next w:val="Normal"/>
    <w:autoRedefine/>
    <w:uiPriority w:val="99"/>
    <w:semiHidden/>
    <w:rsid w:val="00735E69"/>
    <w:pPr>
      <w:spacing w:after="0"/>
      <w:ind w:firstLine="0"/>
    </w:pPr>
    <w:rPr>
      <w:rFonts w:ascii="Cambria" w:hAnsi="Cambria" w:cs="Cambria"/>
      <w:sz w:val="22"/>
      <w:szCs w:val="22"/>
    </w:rPr>
  </w:style>
  <w:style w:type="table" w:styleId="TableGrid">
    <w:name w:val="Table Grid"/>
    <w:basedOn w:val="TableNormal"/>
    <w:uiPriority w:val="99"/>
    <w:rsid w:val="001C3ED5"/>
    <w:rPr>
      <w:rFonts w:cs="Cambr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Text">
    <w:name w:val="annotation text"/>
    <w:basedOn w:val="Normal"/>
    <w:link w:val="CommentTextChar"/>
    <w:uiPriority w:val="99"/>
    <w:semiHidden/>
    <w:rsid w:val="00847466"/>
    <w:pPr>
      <w:spacing w:after="0"/>
      <w:ind w:firstLine="0"/>
    </w:pPr>
    <w:rPr>
      <w:rFonts w:ascii="Cambria" w:hAnsi="Cambria" w:cs="Cambria"/>
    </w:rPr>
  </w:style>
  <w:style w:type="character" w:customStyle="1" w:styleId="CommentTextChar">
    <w:name w:val="Comment Text Char"/>
    <w:basedOn w:val="DefaultParagraphFont"/>
    <w:link w:val="CommentText"/>
    <w:uiPriority w:val="99"/>
    <w:locked/>
    <w:rsid w:val="00847466"/>
    <w:rPr>
      <w:lang w:val="en-GB"/>
    </w:rPr>
  </w:style>
  <w:style w:type="numbering" w:customStyle="1" w:styleId="Stile1">
    <w:name w:val="Stile1"/>
    <w:rsid w:val="0044560F"/>
    <w:pPr>
      <w:numPr>
        <w:numId w:val="4"/>
      </w:numPr>
    </w:pPr>
  </w:style>
</w:styles>
</file>

<file path=word/webSettings.xml><?xml version="1.0" encoding="utf-8"?>
<w:webSettings xmlns:r="http://schemas.openxmlformats.org/officeDocument/2006/relationships" xmlns:w="http://schemas.openxmlformats.org/wordprocessingml/2006/main">
  <w:divs>
    <w:div w:id="1240024616">
      <w:marLeft w:val="0"/>
      <w:marRight w:val="0"/>
      <w:marTop w:val="0"/>
      <w:marBottom w:val="0"/>
      <w:divBdr>
        <w:top w:val="none" w:sz="0" w:space="0" w:color="auto"/>
        <w:left w:val="none" w:sz="0" w:space="0" w:color="auto"/>
        <w:bottom w:val="none" w:sz="0" w:space="0" w:color="auto"/>
        <w:right w:val="none" w:sz="0" w:space="0" w:color="auto"/>
      </w:divBdr>
      <w:divsChild>
        <w:div w:id="1240024615">
          <w:marLeft w:val="547"/>
          <w:marRight w:val="0"/>
          <w:marTop w:val="400"/>
          <w:marBottom w:val="0"/>
          <w:divBdr>
            <w:top w:val="none" w:sz="0" w:space="0" w:color="auto"/>
            <w:left w:val="none" w:sz="0" w:space="0" w:color="auto"/>
            <w:bottom w:val="none" w:sz="0" w:space="0" w:color="auto"/>
            <w:right w:val="none" w:sz="0" w:space="0" w:color="auto"/>
          </w:divBdr>
        </w:div>
        <w:div w:id="1240024619">
          <w:marLeft w:val="547"/>
          <w:marRight w:val="0"/>
          <w:marTop w:val="400"/>
          <w:marBottom w:val="0"/>
          <w:divBdr>
            <w:top w:val="none" w:sz="0" w:space="0" w:color="auto"/>
            <w:left w:val="none" w:sz="0" w:space="0" w:color="auto"/>
            <w:bottom w:val="none" w:sz="0" w:space="0" w:color="auto"/>
            <w:right w:val="none" w:sz="0" w:space="0" w:color="auto"/>
          </w:divBdr>
        </w:div>
      </w:divsChild>
    </w:div>
    <w:div w:id="1240024617">
      <w:marLeft w:val="0"/>
      <w:marRight w:val="0"/>
      <w:marTop w:val="0"/>
      <w:marBottom w:val="0"/>
      <w:divBdr>
        <w:top w:val="none" w:sz="0" w:space="0" w:color="auto"/>
        <w:left w:val="none" w:sz="0" w:space="0" w:color="auto"/>
        <w:bottom w:val="none" w:sz="0" w:space="0" w:color="auto"/>
        <w:right w:val="none" w:sz="0" w:space="0" w:color="auto"/>
      </w:divBdr>
    </w:div>
    <w:div w:id="1240024618">
      <w:marLeft w:val="0"/>
      <w:marRight w:val="0"/>
      <w:marTop w:val="0"/>
      <w:marBottom w:val="0"/>
      <w:divBdr>
        <w:top w:val="none" w:sz="0" w:space="0" w:color="auto"/>
        <w:left w:val="none" w:sz="0" w:space="0" w:color="auto"/>
        <w:bottom w:val="none" w:sz="0" w:space="0" w:color="auto"/>
        <w:right w:val="none" w:sz="0" w:space="0" w:color="auto"/>
      </w:divBdr>
    </w:div>
    <w:div w:id="1240024620">
      <w:marLeft w:val="0"/>
      <w:marRight w:val="0"/>
      <w:marTop w:val="0"/>
      <w:marBottom w:val="0"/>
      <w:divBdr>
        <w:top w:val="none" w:sz="0" w:space="0" w:color="auto"/>
        <w:left w:val="none" w:sz="0" w:space="0" w:color="auto"/>
        <w:bottom w:val="none" w:sz="0" w:space="0" w:color="auto"/>
        <w:right w:val="none" w:sz="0" w:space="0" w:color="auto"/>
      </w:divBdr>
    </w:div>
    <w:div w:id="1240024621">
      <w:marLeft w:val="0"/>
      <w:marRight w:val="0"/>
      <w:marTop w:val="0"/>
      <w:marBottom w:val="0"/>
      <w:divBdr>
        <w:top w:val="none" w:sz="0" w:space="0" w:color="auto"/>
        <w:left w:val="none" w:sz="0" w:space="0" w:color="auto"/>
        <w:bottom w:val="none" w:sz="0" w:space="0" w:color="auto"/>
        <w:right w:val="none" w:sz="0" w:space="0" w:color="auto"/>
      </w:divBdr>
    </w:div>
    <w:div w:id="12400246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ttinaf@unict.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transcrisis.eu" TargetMode="External"/><Relationship Id="rId1" Type="http://schemas.openxmlformats.org/officeDocument/2006/relationships/hyperlink" Target="http://www.dsps.unict.it/sites/default/files/files/firxwebe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879</Words>
  <Characters>5015</Characters>
  <Application>Microsoft Office Outlook</Application>
  <DocSecurity>0</DocSecurity>
  <Lines>0</Lines>
  <Paragraphs>0</Paragraphs>
  <ScaleCrop>false</ScaleCrop>
  <Company>European Commission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Union of shared values – the role of education and civil society"</dc:title>
  <dc:subject/>
  <dc:creator>Fulvio Attinà</dc:creator>
  <cp:keywords/>
  <dc:description/>
  <cp:lastModifiedBy>eurolaw@abv.bg</cp:lastModifiedBy>
  <cp:revision>2</cp:revision>
  <cp:lastPrinted>2015-06-29T08:04:00Z</cp:lastPrinted>
  <dcterms:created xsi:type="dcterms:W3CDTF">2018-05-28T19:52:00Z</dcterms:created>
  <dcterms:modified xsi:type="dcterms:W3CDTF">2018-05-28T19:52:00Z</dcterms:modified>
</cp:coreProperties>
</file>